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AC78" w14:textId="4B3C34A3" w:rsidR="00102472" w:rsidRPr="00D26827" w:rsidRDefault="00102472" w:rsidP="00102472">
      <w:pPr>
        <w:pStyle w:val="Pull-out"/>
        <w:pBdr>
          <w:top w:val="single" w:sz="48" w:space="0" w:color="B2CFDC" w:themeColor="text2" w:themeTint="66"/>
          <w:bottom w:val="single" w:sz="48" w:space="0" w:color="B2CFDC" w:themeColor="text2" w:themeTint="66"/>
        </w:pBdr>
      </w:pPr>
      <w:r>
        <w:t xml:space="preserve">Victoria’s water businesses </w:t>
      </w:r>
      <w:r w:rsidRPr="00522301">
        <w:t xml:space="preserve">send </w:t>
      </w:r>
      <w:bookmarkStart w:id="1" w:name="_GoBack"/>
      <w:r w:rsidRPr="00522301">
        <w:t xml:space="preserve">us </w:t>
      </w:r>
      <w:bookmarkEnd w:id="1"/>
      <w:r w:rsidRPr="00522301">
        <w:t>submissions on proposed prices and key outcomes</w:t>
      </w:r>
      <w:r>
        <w:t xml:space="preserve"> for their customers. We assess the submissions and make price determinations on the maximum price they can charge for their services</w:t>
      </w:r>
      <w:r w:rsidRPr="00D26827">
        <w:t>. New prices need to be in place by 1 July 20</w:t>
      </w:r>
      <w:r w:rsidR="007B1E82">
        <w:t>20</w:t>
      </w:r>
      <w:r w:rsidRPr="00D26827">
        <w:t xml:space="preserve">. </w:t>
      </w:r>
    </w:p>
    <w:p w14:paraId="38843C01" w14:textId="4907408D" w:rsidR="007037C0" w:rsidRPr="00D26827" w:rsidRDefault="007037C0" w:rsidP="007037C0">
      <w:pPr>
        <w:pStyle w:val="Heading2"/>
      </w:pPr>
      <w:r w:rsidRPr="00D26827">
        <w:t>Snapshot</w:t>
      </w:r>
      <w:r w:rsidR="00A277A5">
        <w:t xml:space="preserve"> of what South Gippsland Water is proposing</w:t>
      </w:r>
    </w:p>
    <w:tbl>
      <w:tblPr>
        <w:tblStyle w:val="TableGrid"/>
        <w:tblW w:w="0" w:type="auto"/>
        <w:tblLook w:val="0480" w:firstRow="0" w:lastRow="0" w:firstColumn="1" w:lastColumn="0" w:noHBand="0" w:noVBand="1"/>
      </w:tblPr>
      <w:tblGrid>
        <w:gridCol w:w="3771"/>
        <w:gridCol w:w="2693"/>
        <w:gridCol w:w="3316"/>
      </w:tblGrid>
      <w:tr w:rsidR="00102472" w:rsidRPr="00D26827" w14:paraId="66CDD7C9" w14:textId="77777777" w:rsidTr="000E29F5">
        <w:trPr>
          <w:cnfStyle w:val="000000100000" w:firstRow="0" w:lastRow="0" w:firstColumn="0" w:lastColumn="0" w:oddVBand="0" w:evenVBand="0" w:oddHBand="1" w:evenHBand="0" w:firstRowFirstColumn="0" w:firstRowLastColumn="0" w:lastRowFirstColumn="0" w:lastRowLastColumn="0"/>
        </w:trPr>
        <w:tc>
          <w:tcPr>
            <w:tcW w:w="3771" w:type="dxa"/>
          </w:tcPr>
          <w:p w14:paraId="43FEC5FC" w14:textId="77777777" w:rsidR="00102472" w:rsidRPr="00D26827" w:rsidRDefault="00102472" w:rsidP="00E84671">
            <w:pPr>
              <w:jc w:val="center"/>
              <w:rPr>
                <w:b/>
                <w:noProof/>
                <w:lang w:eastAsia="en-AU"/>
              </w:rPr>
            </w:pPr>
            <w:r w:rsidRPr="00D26827">
              <w:rPr>
                <w:b/>
                <w:noProof/>
                <w:lang w:eastAsia="en-AU"/>
              </w:rPr>
              <w:t>Bills</w:t>
            </w:r>
          </w:p>
        </w:tc>
        <w:tc>
          <w:tcPr>
            <w:tcW w:w="2693" w:type="dxa"/>
          </w:tcPr>
          <w:p w14:paraId="1FFE234C" w14:textId="77777777" w:rsidR="00102472" w:rsidRPr="00D26827" w:rsidRDefault="00102472" w:rsidP="00E84671">
            <w:pPr>
              <w:jc w:val="center"/>
              <w:rPr>
                <w:b/>
                <w:noProof/>
                <w:lang w:eastAsia="en-AU"/>
              </w:rPr>
            </w:pPr>
            <w:r w:rsidRPr="00D26827">
              <w:rPr>
                <w:b/>
                <w:noProof/>
                <w:lang w:eastAsia="en-AU"/>
              </w:rPr>
              <w:t>Tariffs</w:t>
            </w:r>
          </w:p>
        </w:tc>
        <w:tc>
          <w:tcPr>
            <w:tcW w:w="3316" w:type="dxa"/>
          </w:tcPr>
          <w:p w14:paraId="739CF0C6" w14:textId="77777777" w:rsidR="00102472" w:rsidRPr="00D26827" w:rsidRDefault="00102472" w:rsidP="00E84671">
            <w:pPr>
              <w:jc w:val="center"/>
              <w:rPr>
                <w:b/>
                <w:noProof/>
                <w:lang w:eastAsia="en-AU"/>
              </w:rPr>
            </w:pPr>
            <w:r w:rsidRPr="00D26827">
              <w:rPr>
                <w:b/>
                <w:noProof/>
                <w:lang w:eastAsia="en-AU"/>
              </w:rPr>
              <w:t>Outcomes</w:t>
            </w:r>
          </w:p>
        </w:tc>
      </w:tr>
      <w:tr w:rsidR="00B91DF0" w:rsidRPr="00D26827" w14:paraId="2A125043" w14:textId="77777777" w:rsidTr="000E29F5">
        <w:trPr>
          <w:cnfStyle w:val="000000010000" w:firstRow="0" w:lastRow="0" w:firstColumn="0" w:lastColumn="0" w:oddVBand="0" w:evenVBand="0" w:oddHBand="0" w:evenHBand="1" w:firstRowFirstColumn="0" w:firstRowLastColumn="0" w:lastRowFirstColumn="0" w:lastRowLastColumn="0"/>
        </w:trPr>
        <w:tc>
          <w:tcPr>
            <w:tcW w:w="3771" w:type="dxa"/>
          </w:tcPr>
          <w:p w14:paraId="01DC1D9A" w14:textId="77777777" w:rsidR="00B91DF0" w:rsidRPr="00D26827" w:rsidRDefault="00B91DF0" w:rsidP="00E84671">
            <w:pPr>
              <w:jc w:val="center"/>
            </w:pPr>
            <w:r w:rsidRPr="00D26827">
              <w:rPr>
                <w:noProof/>
                <w:lang w:eastAsia="en-AU"/>
              </w:rPr>
              <w:drawing>
                <wp:inline distT="0" distB="0" distL="0" distR="0" wp14:anchorId="4F77A300" wp14:editId="3BB504B4">
                  <wp:extent cx="743374" cy="743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996175_cc.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3374" cy="743374"/>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Pr>
          <w:p w14:paraId="74685FC7" w14:textId="77777777" w:rsidR="00B91DF0" w:rsidRPr="00D26827" w:rsidRDefault="00B91DF0" w:rsidP="00E84671">
            <w:pPr>
              <w:jc w:val="center"/>
            </w:pPr>
            <w:r w:rsidRPr="00D26827">
              <w:rPr>
                <w:noProof/>
                <w:lang w:eastAsia="en-AU"/>
              </w:rPr>
              <w:drawing>
                <wp:inline distT="0" distB="0" distL="0" distR="0" wp14:anchorId="2A822EBB" wp14:editId="5F477E65">
                  <wp:extent cx="749620" cy="74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1043557_cc.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9620" cy="749620"/>
                          </a:xfrm>
                          <a:prstGeom prst="rect">
                            <a:avLst/>
                          </a:prstGeom>
                          <a:ln>
                            <a:noFill/>
                          </a:ln>
                          <a:extLst>
                            <a:ext uri="{53640926-AAD7-44D8-BBD7-CCE9431645EC}">
                              <a14:shadowObscured xmlns:a14="http://schemas.microsoft.com/office/drawing/2010/main"/>
                            </a:ext>
                          </a:extLst>
                        </pic:spPr>
                      </pic:pic>
                    </a:graphicData>
                  </a:graphic>
                </wp:inline>
              </w:drawing>
            </w:r>
          </w:p>
        </w:tc>
        <w:tc>
          <w:tcPr>
            <w:tcW w:w="3316" w:type="dxa"/>
          </w:tcPr>
          <w:p w14:paraId="632F5665" w14:textId="77777777" w:rsidR="00B91DF0" w:rsidRPr="00D26827" w:rsidRDefault="00B91DF0" w:rsidP="00E84671">
            <w:pPr>
              <w:jc w:val="center"/>
            </w:pPr>
            <w:r w:rsidRPr="00D26827">
              <w:rPr>
                <w:noProof/>
                <w:lang w:eastAsia="en-AU"/>
              </w:rPr>
              <w:drawing>
                <wp:inline distT="0" distB="0" distL="0" distR="0" wp14:anchorId="54C8C6F3" wp14:editId="35854573">
                  <wp:extent cx="700443" cy="700443"/>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1189098_cc.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0443" cy="700443"/>
                          </a:xfrm>
                          <a:prstGeom prst="rect">
                            <a:avLst/>
                          </a:prstGeom>
                          <a:ln>
                            <a:noFill/>
                          </a:ln>
                          <a:extLst>
                            <a:ext uri="{53640926-AAD7-44D8-BBD7-CCE9431645EC}">
                              <a14:shadowObscured xmlns:a14="http://schemas.microsoft.com/office/drawing/2010/main"/>
                            </a:ext>
                          </a:extLst>
                        </pic:spPr>
                      </pic:pic>
                    </a:graphicData>
                  </a:graphic>
                </wp:inline>
              </w:drawing>
            </w:r>
          </w:p>
        </w:tc>
      </w:tr>
      <w:tr w:rsidR="00F520DF" w:rsidRPr="008E3D0E" w14:paraId="4D52EC52" w14:textId="77777777" w:rsidTr="000E29F5">
        <w:trPr>
          <w:cnfStyle w:val="000000100000" w:firstRow="0" w:lastRow="0" w:firstColumn="0" w:lastColumn="0" w:oddVBand="0" w:evenVBand="0" w:oddHBand="1" w:evenHBand="0" w:firstRowFirstColumn="0" w:firstRowLastColumn="0" w:lastRowFirstColumn="0" w:lastRowLastColumn="0"/>
        </w:trPr>
        <w:tc>
          <w:tcPr>
            <w:tcW w:w="3771" w:type="dxa"/>
            <w:tcBorders>
              <w:bottom w:val="single" w:sz="8" w:space="0" w:color="FFFFFF" w:themeColor="background1"/>
            </w:tcBorders>
          </w:tcPr>
          <w:p w14:paraId="496F1388" w14:textId="77777777" w:rsidR="00F520DF" w:rsidRPr="008E3D0E" w:rsidRDefault="00F520DF" w:rsidP="00F520DF">
            <w:r w:rsidRPr="008E3D0E">
              <w:t>Typical annual residential owner occupier water bill for 2020</w:t>
            </w:r>
            <w:r w:rsidRPr="008E3D0E">
              <w:noBreakHyphen/>
              <w:t>21 will be $1,054 before inflation, up from $1,004 in 2018</w:t>
            </w:r>
            <w:r w:rsidRPr="008E3D0E">
              <w:noBreakHyphen/>
              <w:t xml:space="preserve">19. An </w:t>
            </w:r>
            <w:r w:rsidRPr="008E3D0E">
              <w:rPr>
                <w:b/>
              </w:rPr>
              <w:t xml:space="preserve">increase of $50, </w:t>
            </w:r>
            <w:r w:rsidRPr="008E3D0E">
              <w:t>or</w:t>
            </w:r>
            <w:r w:rsidRPr="008E3D0E">
              <w:rPr>
                <w:b/>
              </w:rPr>
              <w:t xml:space="preserve"> 5.0%</w:t>
            </w:r>
            <w:r w:rsidRPr="008E3D0E">
              <w:t xml:space="preserve">. </w:t>
            </w:r>
          </w:p>
          <w:p w14:paraId="1296DDF3" w14:textId="3BF0D382" w:rsidR="00F520DF" w:rsidRPr="008E3D0E" w:rsidRDefault="00F520DF" w:rsidP="00F520DF">
            <w:r w:rsidRPr="008E3D0E">
              <w:t>In 2022</w:t>
            </w:r>
            <w:r w:rsidRPr="008E3D0E">
              <w:noBreakHyphen/>
              <w:t>23 the annual bill is forecast to be $1,097 (not including inflation</w:t>
            </w:r>
            <w:proofErr w:type="gramStart"/>
            <w:r w:rsidRPr="008E3D0E">
              <w:t>).*</w:t>
            </w:r>
            <w:proofErr w:type="gramEnd"/>
          </w:p>
        </w:tc>
        <w:tc>
          <w:tcPr>
            <w:tcW w:w="2693" w:type="dxa"/>
            <w:tcBorders>
              <w:bottom w:val="single" w:sz="8" w:space="0" w:color="FFFFFF" w:themeColor="background1"/>
            </w:tcBorders>
          </w:tcPr>
          <w:p w14:paraId="40CD7B0F" w14:textId="5A281EC0" w:rsidR="00F520DF" w:rsidRPr="008E3D0E" w:rsidRDefault="00F520DF" w:rsidP="00F520DF">
            <w:pPr>
              <w:spacing w:after="160"/>
            </w:pPr>
            <w:r w:rsidRPr="008E3D0E">
              <w:t>Prices will increase. There are no significant changes to tariff structures or the proportion of fixed and variable charges.</w:t>
            </w:r>
          </w:p>
        </w:tc>
        <w:tc>
          <w:tcPr>
            <w:tcW w:w="3316" w:type="dxa"/>
            <w:tcBorders>
              <w:bottom w:val="single" w:sz="8" w:space="0" w:color="FFFFFF" w:themeColor="background1"/>
            </w:tcBorders>
          </w:tcPr>
          <w:p w14:paraId="077FCFC8" w14:textId="12310DE3" w:rsidR="00F520DF" w:rsidRPr="008E3D0E" w:rsidRDefault="009D17AA" w:rsidP="000E29F5">
            <w:r w:rsidRPr="008E3D0E">
              <w:t xml:space="preserve">South Gippsland Water proposes retaining service standards. Guaranteed Service Levels will be </w:t>
            </w:r>
            <w:proofErr w:type="gramStart"/>
            <w:r w:rsidRPr="008E3D0E">
              <w:t>similar to</w:t>
            </w:r>
            <w:proofErr w:type="gramEnd"/>
            <w:r w:rsidRPr="008E3D0E">
              <w:t xml:space="preserve"> previous years, albeit with the removal of the payment if water is not restored within five hours for an unplanned outage.</w:t>
            </w:r>
          </w:p>
        </w:tc>
      </w:tr>
      <w:tr w:rsidR="00F520DF" w:rsidRPr="008E3D0E" w14:paraId="2F68A554" w14:textId="77777777" w:rsidTr="00C85D0D">
        <w:trPr>
          <w:cnfStyle w:val="000000010000" w:firstRow="0" w:lastRow="0" w:firstColumn="0" w:lastColumn="0" w:oddVBand="0" w:evenVBand="0" w:oddHBand="0" w:evenHBand="1" w:firstRowFirstColumn="0" w:firstRowLastColumn="0" w:lastRowFirstColumn="0" w:lastRowLastColumn="0"/>
        </w:trPr>
        <w:tc>
          <w:tcPr>
            <w:tcW w:w="9780" w:type="dxa"/>
            <w:gridSpan w:val="3"/>
            <w:tcBorders>
              <w:bottom w:val="single" w:sz="8" w:space="0" w:color="FFFFFF" w:themeColor="background1"/>
            </w:tcBorders>
          </w:tcPr>
          <w:p w14:paraId="0140D644" w14:textId="080ADEEE" w:rsidR="00F520DF" w:rsidRPr="008E3D0E" w:rsidRDefault="00F520DF" w:rsidP="00F520DF">
            <w:pPr>
              <w:spacing w:before="0"/>
              <w:rPr>
                <w:sz w:val="18"/>
                <w:szCs w:val="18"/>
              </w:rPr>
            </w:pPr>
            <w:r w:rsidRPr="008E3D0E">
              <w:rPr>
                <w:sz w:val="18"/>
                <w:szCs w:val="18"/>
              </w:rPr>
              <w:t xml:space="preserve">*We calculated the bill impact to reflect the average consumption </w:t>
            </w:r>
            <w:r w:rsidR="007D2F5A" w:rsidRPr="008E3D0E">
              <w:rPr>
                <w:sz w:val="18"/>
                <w:szCs w:val="18"/>
              </w:rPr>
              <w:t xml:space="preserve">of </w:t>
            </w:r>
            <w:r w:rsidRPr="008E3D0E">
              <w:rPr>
                <w:sz w:val="18"/>
                <w:szCs w:val="18"/>
              </w:rPr>
              <w:t>121</w:t>
            </w:r>
            <w:r w:rsidR="007D2F5A" w:rsidRPr="008E3D0E">
              <w:rPr>
                <w:sz w:val="18"/>
                <w:szCs w:val="18"/>
              </w:rPr>
              <w:t> </w:t>
            </w:r>
            <w:proofErr w:type="spellStart"/>
            <w:r w:rsidRPr="008E3D0E">
              <w:rPr>
                <w:sz w:val="18"/>
                <w:szCs w:val="18"/>
              </w:rPr>
              <w:t>kL</w:t>
            </w:r>
            <w:proofErr w:type="spellEnd"/>
            <w:r w:rsidRPr="008E3D0E">
              <w:rPr>
                <w:sz w:val="18"/>
                <w:szCs w:val="18"/>
              </w:rPr>
              <w:t xml:space="preserve"> per annum </w:t>
            </w:r>
            <w:r w:rsidR="007D2F5A" w:rsidRPr="008E3D0E">
              <w:rPr>
                <w:sz w:val="18"/>
                <w:szCs w:val="18"/>
              </w:rPr>
              <w:t xml:space="preserve">for </w:t>
            </w:r>
            <w:r w:rsidRPr="008E3D0E">
              <w:rPr>
                <w:sz w:val="18"/>
                <w:szCs w:val="18"/>
              </w:rPr>
              <w:t xml:space="preserve">South Gippsland </w:t>
            </w:r>
            <w:proofErr w:type="gramStart"/>
            <w:r w:rsidRPr="008E3D0E">
              <w:rPr>
                <w:sz w:val="18"/>
                <w:szCs w:val="18"/>
              </w:rPr>
              <w:t>Water’s  customers</w:t>
            </w:r>
            <w:proofErr w:type="gramEnd"/>
            <w:r w:rsidRPr="008E3D0E">
              <w:rPr>
                <w:sz w:val="18"/>
                <w:szCs w:val="18"/>
              </w:rPr>
              <w:t>.</w:t>
            </w:r>
          </w:p>
        </w:tc>
      </w:tr>
      <w:tr w:rsidR="00F520DF" w:rsidRPr="008E3D0E" w14:paraId="4C9743E6" w14:textId="77777777" w:rsidTr="00126761">
        <w:trPr>
          <w:cnfStyle w:val="000000100000" w:firstRow="0" w:lastRow="0" w:firstColumn="0" w:lastColumn="0" w:oddVBand="0" w:evenVBand="0" w:oddHBand="1" w:evenHBand="0" w:firstRowFirstColumn="0" w:firstRowLastColumn="0" w:lastRowFirstColumn="0" w:lastRowLastColumn="0"/>
        </w:trPr>
        <w:tc>
          <w:tcPr>
            <w:tcW w:w="9780" w:type="dxa"/>
            <w:gridSpan w:val="3"/>
            <w:tcBorders>
              <w:top w:val="single" w:sz="8" w:space="0" w:color="FFFFFF" w:themeColor="background1"/>
              <w:bottom w:val="nil"/>
            </w:tcBorders>
            <w:shd w:val="clear" w:color="auto" w:fill="D8E7ED" w:themeFill="text2" w:themeFillTint="33"/>
          </w:tcPr>
          <w:p w14:paraId="5C9B4AF3" w14:textId="77777777" w:rsidR="00F520DF" w:rsidRPr="008E3D0E" w:rsidRDefault="00F520DF" w:rsidP="00F520DF">
            <w:r w:rsidRPr="008E3D0E">
              <w:t xml:space="preserve">Do you want to know the difference between bills and prices? For this and more information about our price review process and South Gippsland Water’s price submission, go to </w:t>
            </w:r>
            <w:hyperlink r:id="rId11" w:history="1">
              <w:r w:rsidRPr="008E3D0E">
                <w:rPr>
                  <w:rStyle w:val="Hyperlink"/>
                </w:rPr>
                <w:t>http://www.esc.vic.gov.au/waterpricereview</w:t>
              </w:r>
            </w:hyperlink>
          </w:p>
        </w:tc>
      </w:tr>
    </w:tbl>
    <w:p w14:paraId="6214BB33" w14:textId="77777777" w:rsidR="004F5F7F" w:rsidRPr="008E3D0E" w:rsidRDefault="004F5F7F" w:rsidP="004F5F7F">
      <w:pPr>
        <w:pStyle w:val="Heading2"/>
      </w:pPr>
      <w:r w:rsidRPr="008E3D0E">
        <w:t xml:space="preserve">Send us your feedback on </w:t>
      </w:r>
      <w:fldSimple w:instr=" KEYWORDS   \* MERGEFORMAT ">
        <w:r w:rsidRPr="008E3D0E">
          <w:t>South Gippsland Water</w:t>
        </w:r>
      </w:fldSimple>
      <w:r w:rsidRPr="008E3D0E">
        <w:t>’s proposal</w:t>
      </w:r>
    </w:p>
    <w:p w14:paraId="505E7BE7" w14:textId="04E16796" w:rsidR="007037C0" w:rsidRPr="008E3D0E" w:rsidRDefault="007037C0" w:rsidP="007037C0">
      <w:r w:rsidRPr="008E3D0E">
        <w:t xml:space="preserve">Submitting your feedback to </w:t>
      </w:r>
      <w:fldSimple w:instr=" KEYWORDS   \* MERGEFORMAT ">
        <w:r w:rsidR="004F5F7F" w:rsidRPr="008E3D0E">
          <w:t>South Gippsland Water</w:t>
        </w:r>
      </w:fldSimple>
      <w:r w:rsidR="004F5F7F" w:rsidRPr="008E3D0E">
        <w:t>’s</w:t>
      </w:r>
      <w:r w:rsidRPr="008E3D0E">
        <w:t xml:space="preserve"> price submission by </w:t>
      </w:r>
      <w:r w:rsidR="00CC66D5" w:rsidRPr="008E3D0E">
        <w:rPr>
          <w:b/>
        </w:rPr>
        <w:t>24 January 2020</w:t>
      </w:r>
      <w:r w:rsidRPr="008E3D0E">
        <w:rPr>
          <w:b/>
        </w:rPr>
        <w:t xml:space="preserve"> </w:t>
      </w:r>
      <w:r w:rsidRPr="008E3D0E">
        <w:t>will help us prepare for the release of our draft decision.</w:t>
      </w:r>
    </w:p>
    <w:p w14:paraId="53C427BB" w14:textId="7CD2CD81" w:rsidR="004F5F7F" w:rsidRPr="008E3D0E" w:rsidRDefault="007037C0" w:rsidP="007037C0">
      <w:pPr>
        <w:spacing w:before="0"/>
      </w:pPr>
      <w:r w:rsidRPr="008E3D0E">
        <w:t xml:space="preserve">Send your feedback to </w:t>
      </w:r>
      <w:hyperlink r:id="rId12" w:history="1">
        <w:r w:rsidRPr="008E3D0E">
          <w:rPr>
            <w:rStyle w:val="Hyperlink"/>
          </w:rPr>
          <w:t>water@esc.vic.gov.au</w:t>
        </w:r>
      </w:hyperlink>
      <w:r w:rsidRPr="008E3D0E">
        <w:t xml:space="preserve"> or call (03) 9032 1300.</w:t>
      </w:r>
    </w:p>
    <w:p w14:paraId="27351078" w14:textId="77777777" w:rsidR="004F5F7F" w:rsidRPr="008E3D0E" w:rsidRDefault="004F5F7F" w:rsidP="004F5F7F">
      <w:pPr>
        <w:pStyle w:val="Heading2"/>
      </w:pPr>
      <w:r w:rsidRPr="008E3D0E">
        <w:lastRenderedPageBreak/>
        <w:t>What are the changes to prices and tariffs?</w:t>
      </w:r>
    </w:p>
    <w:p w14:paraId="71E910A8" w14:textId="503087E9" w:rsidR="00F520DF" w:rsidRPr="008E3D0E" w:rsidRDefault="00F520DF" w:rsidP="00F520DF">
      <w:r w:rsidRPr="008E3D0E">
        <w:t xml:space="preserve">Overall proposed prices for </w:t>
      </w:r>
      <w:fldSimple w:instr=" KEYWORDS   \* MERGEFORMAT ">
        <w:r w:rsidRPr="008E3D0E">
          <w:t>South Gippsland Water</w:t>
        </w:r>
      </w:fldSimple>
      <w:r w:rsidRPr="008E3D0E">
        <w:t xml:space="preserve"> customers will </w:t>
      </w:r>
      <w:r w:rsidRPr="008E3D0E">
        <w:rPr>
          <w:b/>
        </w:rPr>
        <w:t xml:space="preserve">go up </w:t>
      </w:r>
      <w:r w:rsidRPr="008E3D0E">
        <w:rPr>
          <w:bCs/>
        </w:rPr>
        <w:t>by 5 per cent in 2020-21, 2 per cent in 2021-22 and 2 per cent in 2022-23 (not including inflation)</w:t>
      </w:r>
      <w:r w:rsidRPr="008E3D0E">
        <w:t xml:space="preserve">. There are no significant changes to tariff structures or the proportion of fixed and variable costs. </w:t>
      </w:r>
    </w:p>
    <w:p w14:paraId="3D77B464" w14:textId="77777777" w:rsidR="004F5F7F" w:rsidRPr="008E3D0E" w:rsidRDefault="004F5F7F" w:rsidP="004F5F7F">
      <w:pPr>
        <w:pStyle w:val="Figure-Table-BoxHeading"/>
        <w:rPr>
          <w:rFonts w:ascii="Tahoma" w:hAnsi="Tahoma"/>
          <w:color w:val="236192" w:themeColor="accent1"/>
          <w:sz w:val="26"/>
          <w:szCs w:val="26"/>
        </w:rPr>
      </w:pPr>
      <w:r w:rsidRPr="008E3D0E">
        <w:rPr>
          <w:rFonts w:ascii="Tahoma" w:hAnsi="Tahoma"/>
          <w:color w:val="236192" w:themeColor="accent1"/>
          <w:sz w:val="26"/>
          <w:szCs w:val="26"/>
        </w:rPr>
        <w:t xml:space="preserve">How will this affect your bill? </w:t>
      </w:r>
    </w:p>
    <w:p w14:paraId="34503333" w14:textId="77777777" w:rsidR="004F5F7F" w:rsidRPr="008E3D0E" w:rsidRDefault="004F5F7F" w:rsidP="00776C79">
      <w:pPr>
        <w:rPr>
          <w:b/>
        </w:rPr>
      </w:pPr>
      <w:r w:rsidRPr="008E3D0E">
        <w:t xml:space="preserve">Prices and tariffs are only part of the bill. Your actual bill depends on factors such as the amount of water and services you use. South Gippsland Water provided us with </w:t>
      </w:r>
      <w:r w:rsidR="00776C79" w:rsidRPr="008E3D0E">
        <w:t xml:space="preserve">typical </w:t>
      </w:r>
      <w:r w:rsidRPr="008E3D0E">
        <w:t xml:space="preserve">bills for different water volumes and customer groups. </w:t>
      </w:r>
    </w:p>
    <w:p w14:paraId="03C90153" w14:textId="77777777" w:rsidR="004F5F7F" w:rsidRPr="008E3D0E" w:rsidRDefault="004F5F7F" w:rsidP="004F5F7F">
      <w:pPr>
        <w:pStyle w:val="Figure-Table-BoxHeading"/>
      </w:pPr>
      <w:bookmarkStart w:id="2" w:name="_Hlk25236717"/>
      <w:r w:rsidRPr="008E3D0E">
        <w:t>Typical water and sewerage bills (not including inflation)</w:t>
      </w:r>
    </w:p>
    <w:tbl>
      <w:tblPr>
        <w:tblStyle w:val="TableGrid"/>
        <w:tblW w:w="9724" w:type="dxa"/>
        <w:tblLayout w:type="fixed"/>
        <w:tblLook w:val="04A0" w:firstRow="1" w:lastRow="0" w:firstColumn="1" w:lastColumn="0" w:noHBand="0" w:noVBand="1"/>
      </w:tblPr>
      <w:tblGrid>
        <w:gridCol w:w="3062"/>
        <w:gridCol w:w="1843"/>
        <w:gridCol w:w="1559"/>
        <w:gridCol w:w="1701"/>
        <w:gridCol w:w="1559"/>
      </w:tblGrid>
      <w:tr w:rsidR="004F5F7F" w:rsidRPr="008E3D0E" w14:paraId="1A466616" w14:textId="77777777" w:rsidTr="00707CAC">
        <w:trPr>
          <w:cnfStyle w:val="100000000000" w:firstRow="1" w:lastRow="0" w:firstColumn="0" w:lastColumn="0" w:oddVBand="0" w:evenVBand="0" w:oddHBand="0" w:evenHBand="0" w:firstRowFirstColumn="0" w:firstRowLastColumn="0" w:lastRowFirstColumn="0" w:lastRowLastColumn="0"/>
        </w:trPr>
        <w:tc>
          <w:tcPr>
            <w:tcW w:w="3062" w:type="dxa"/>
          </w:tcPr>
          <w:p w14:paraId="51447FCE" w14:textId="77777777" w:rsidR="004F5F7F" w:rsidRPr="008E3D0E" w:rsidRDefault="004F5F7F" w:rsidP="00707CAC">
            <w:bookmarkStart w:id="3" w:name="_Hlk25236729"/>
            <w:bookmarkEnd w:id="2"/>
            <w:r w:rsidRPr="008E3D0E">
              <w:t>Customer group</w:t>
            </w:r>
          </w:p>
        </w:tc>
        <w:tc>
          <w:tcPr>
            <w:tcW w:w="1843" w:type="dxa"/>
          </w:tcPr>
          <w:p w14:paraId="4BE7D395" w14:textId="77777777" w:rsidR="004F5F7F" w:rsidRPr="008E3D0E" w:rsidRDefault="004F5F7F" w:rsidP="00C85D0D">
            <w:pPr>
              <w:spacing w:before="0"/>
              <w:jc w:val="center"/>
            </w:pPr>
            <w:r w:rsidRPr="008E3D0E">
              <w:t xml:space="preserve">Consumption </w:t>
            </w:r>
            <w:r w:rsidRPr="008E3D0E">
              <w:br/>
              <w:t>(</w:t>
            </w:r>
            <w:proofErr w:type="spellStart"/>
            <w:r w:rsidRPr="008E3D0E">
              <w:t>kL</w:t>
            </w:r>
            <w:proofErr w:type="spellEnd"/>
            <w:r w:rsidRPr="008E3D0E">
              <w:t> p.a.)</w:t>
            </w:r>
          </w:p>
        </w:tc>
        <w:tc>
          <w:tcPr>
            <w:tcW w:w="1559" w:type="dxa"/>
          </w:tcPr>
          <w:p w14:paraId="17ACDB7D" w14:textId="2E88EB37" w:rsidR="004F5F7F" w:rsidRPr="008E3D0E" w:rsidRDefault="004F5F7F" w:rsidP="00707CAC">
            <w:pPr>
              <w:jc w:val="center"/>
            </w:pPr>
            <w:r w:rsidRPr="008E3D0E">
              <w:t>20</w:t>
            </w:r>
            <w:r w:rsidR="0078590A" w:rsidRPr="008E3D0E">
              <w:t>20</w:t>
            </w:r>
            <w:r w:rsidRPr="008E3D0E">
              <w:noBreakHyphen/>
            </w:r>
            <w:r w:rsidR="0078590A" w:rsidRPr="008E3D0E">
              <w:t>21</w:t>
            </w:r>
            <w:r w:rsidRPr="008E3D0E">
              <w:t xml:space="preserve"> annual bill</w:t>
            </w:r>
          </w:p>
        </w:tc>
        <w:tc>
          <w:tcPr>
            <w:tcW w:w="1701" w:type="dxa"/>
          </w:tcPr>
          <w:p w14:paraId="5D6D1483" w14:textId="0D24D220" w:rsidR="004F5F7F" w:rsidRPr="008E3D0E" w:rsidRDefault="004F5F7F" w:rsidP="00707CAC">
            <w:pPr>
              <w:jc w:val="center"/>
            </w:pPr>
            <w:r w:rsidRPr="008E3D0E">
              <w:t>20</w:t>
            </w:r>
            <w:r w:rsidR="0078590A" w:rsidRPr="008E3D0E">
              <w:t>21</w:t>
            </w:r>
            <w:r w:rsidRPr="008E3D0E">
              <w:noBreakHyphen/>
            </w:r>
            <w:r w:rsidR="0078590A" w:rsidRPr="008E3D0E">
              <w:t>22</w:t>
            </w:r>
            <w:r w:rsidRPr="008E3D0E">
              <w:t xml:space="preserve"> annual bill</w:t>
            </w:r>
          </w:p>
        </w:tc>
        <w:tc>
          <w:tcPr>
            <w:tcW w:w="1559" w:type="dxa"/>
          </w:tcPr>
          <w:p w14:paraId="3CB8D815" w14:textId="77777777" w:rsidR="004F5F7F" w:rsidRPr="008E3D0E" w:rsidRDefault="004F5F7F" w:rsidP="00707CAC">
            <w:pPr>
              <w:jc w:val="center"/>
            </w:pPr>
            <w:r w:rsidRPr="008E3D0E">
              <w:t>2022</w:t>
            </w:r>
            <w:r w:rsidRPr="008E3D0E">
              <w:noBreakHyphen/>
              <w:t>23 annual bill</w:t>
            </w:r>
          </w:p>
        </w:tc>
      </w:tr>
      <w:tr w:rsidR="00F520DF" w:rsidRPr="008E3D0E" w14:paraId="24501A99" w14:textId="77777777" w:rsidTr="00080196">
        <w:trPr>
          <w:cnfStyle w:val="000000100000" w:firstRow="0" w:lastRow="0" w:firstColumn="0" w:lastColumn="0" w:oddVBand="0" w:evenVBand="0" w:oddHBand="1" w:evenHBand="0" w:firstRowFirstColumn="0" w:firstRowLastColumn="0" w:lastRowFirstColumn="0" w:lastRowLastColumn="0"/>
        </w:trPr>
        <w:tc>
          <w:tcPr>
            <w:tcW w:w="3062" w:type="dxa"/>
            <w:vMerge w:val="restart"/>
          </w:tcPr>
          <w:p w14:paraId="0527C881" w14:textId="77777777" w:rsidR="00F520DF" w:rsidRPr="008E3D0E" w:rsidRDefault="00F520DF" w:rsidP="00F520DF">
            <w:pPr>
              <w:pStyle w:val="TableBody"/>
              <w:jc w:val="center"/>
            </w:pPr>
            <w:r w:rsidRPr="008E3D0E">
              <w:t>Residential (Owner occupier)</w:t>
            </w:r>
          </w:p>
          <w:p w14:paraId="19C72646" w14:textId="552B9CB6" w:rsidR="00F520DF" w:rsidRPr="008E3D0E" w:rsidRDefault="00F520DF" w:rsidP="00F520DF">
            <w:pPr>
              <w:pStyle w:val="TableBody"/>
              <w:jc w:val="center"/>
            </w:pPr>
          </w:p>
        </w:tc>
        <w:tc>
          <w:tcPr>
            <w:tcW w:w="1843" w:type="dxa"/>
          </w:tcPr>
          <w:p w14:paraId="0813FB76" w14:textId="11A91DD5" w:rsidR="00F520DF" w:rsidRPr="008E3D0E" w:rsidRDefault="00F520DF" w:rsidP="00F520DF">
            <w:pPr>
              <w:pStyle w:val="TableBody"/>
              <w:jc w:val="center"/>
            </w:pPr>
            <w:r w:rsidRPr="008E3D0E">
              <w:t>121*</w:t>
            </w:r>
          </w:p>
        </w:tc>
        <w:tc>
          <w:tcPr>
            <w:tcW w:w="1559" w:type="dxa"/>
          </w:tcPr>
          <w:p w14:paraId="01A2A1E8" w14:textId="77EBFCED" w:rsidR="00F520DF" w:rsidRPr="008E3D0E" w:rsidRDefault="00F520DF" w:rsidP="00F520DF">
            <w:pPr>
              <w:pStyle w:val="TableBody"/>
              <w:jc w:val="center"/>
            </w:pPr>
            <w:r w:rsidRPr="008E3D0E">
              <w:t>$1,054</w:t>
            </w:r>
          </w:p>
        </w:tc>
        <w:tc>
          <w:tcPr>
            <w:tcW w:w="1701" w:type="dxa"/>
          </w:tcPr>
          <w:p w14:paraId="5729F20F" w14:textId="13A6C735" w:rsidR="00F520DF" w:rsidRPr="008E3D0E" w:rsidRDefault="00F520DF" w:rsidP="00F520DF">
            <w:pPr>
              <w:pStyle w:val="TableBody"/>
              <w:jc w:val="center"/>
            </w:pPr>
            <w:r w:rsidRPr="008E3D0E">
              <w:t>$1,075</w:t>
            </w:r>
          </w:p>
        </w:tc>
        <w:tc>
          <w:tcPr>
            <w:tcW w:w="1559" w:type="dxa"/>
          </w:tcPr>
          <w:p w14:paraId="7F380CCD" w14:textId="08879A00" w:rsidR="00F520DF" w:rsidRPr="008E3D0E" w:rsidRDefault="00F520DF" w:rsidP="00F520DF">
            <w:pPr>
              <w:pStyle w:val="TableBody"/>
              <w:jc w:val="center"/>
            </w:pPr>
            <w:r w:rsidRPr="008E3D0E">
              <w:t>$1,097</w:t>
            </w:r>
          </w:p>
        </w:tc>
      </w:tr>
      <w:tr w:rsidR="00F520DF" w:rsidRPr="008E3D0E" w14:paraId="6E866F27" w14:textId="77777777" w:rsidTr="008D30C4">
        <w:trPr>
          <w:cnfStyle w:val="000000010000" w:firstRow="0" w:lastRow="0" w:firstColumn="0" w:lastColumn="0" w:oddVBand="0" w:evenVBand="0" w:oddHBand="0" w:evenHBand="1" w:firstRowFirstColumn="0" w:firstRowLastColumn="0" w:lastRowFirstColumn="0" w:lastRowLastColumn="0"/>
        </w:trPr>
        <w:tc>
          <w:tcPr>
            <w:tcW w:w="3062" w:type="dxa"/>
            <w:vMerge/>
            <w:shd w:val="clear" w:color="auto" w:fill="F2F2F2" w:themeFill="background1" w:themeFillShade="F2"/>
          </w:tcPr>
          <w:p w14:paraId="30191874" w14:textId="77777777" w:rsidR="00F520DF" w:rsidRPr="008E3D0E" w:rsidRDefault="00F520DF" w:rsidP="00F520DF">
            <w:pPr>
              <w:pStyle w:val="TableBody"/>
            </w:pPr>
          </w:p>
        </w:tc>
        <w:tc>
          <w:tcPr>
            <w:tcW w:w="1843" w:type="dxa"/>
            <w:shd w:val="clear" w:color="auto" w:fill="F2F2F2" w:themeFill="background1" w:themeFillShade="F2"/>
          </w:tcPr>
          <w:p w14:paraId="4DCBEECF" w14:textId="5A01A914" w:rsidR="00F520DF" w:rsidRPr="008E3D0E" w:rsidRDefault="00F520DF" w:rsidP="00F520DF">
            <w:pPr>
              <w:pStyle w:val="TableBody"/>
              <w:jc w:val="center"/>
            </w:pPr>
            <w:r w:rsidRPr="008E3D0E">
              <w:t>200</w:t>
            </w:r>
          </w:p>
        </w:tc>
        <w:tc>
          <w:tcPr>
            <w:tcW w:w="1559" w:type="dxa"/>
            <w:shd w:val="clear" w:color="auto" w:fill="F2F2F2" w:themeFill="background1" w:themeFillShade="F2"/>
          </w:tcPr>
          <w:p w14:paraId="23955EC8" w14:textId="4709F8BF" w:rsidR="00F520DF" w:rsidRPr="008E3D0E" w:rsidRDefault="00F520DF" w:rsidP="00F520DF">
            <w:pPr>
              <w:pStyle w:val="TableBody"/>
              <w:jc w:val="center"/>
            </w:pPr>
            <w:r w:rsidRPr="008E3D0E">
              <w:t>$1,208</w:t>
            </w:r>
          </w:p>
        </w:tc>
        <w:tc>
          <w:tcPr>
            <w:tcW w:w="1701" w:type="dxa"/>
            <w:shd w:val="clear" w:color="auto" w:fill="F2F2F2" w:themeFill="background1" w:themeFillShade="F2"/>
          </w:tcPr>
          <w:p w14:paraId="3461E17E" w14:textId="4C728AF5" w:rsidR="00F520DF" w:rsidRPr="008E3D0E" w:rsidRDefault="00F520DF" w:rsidP="00F520DF">
            <w:pPr>
              <w:pStyle w:val="TableBody"/>
              <w:jc w:val="center"/>
            </w:pPr>
            <w:r w:rsidRPr="008E3D0E">
              <w:t>$1,232</w:t>
            </w:r>
          </w:p>
        </w:tc>
        <w:tc>
          <w:tcPr>
            <w:tcW w:w="1559" w:type="dxa"/>
            <w:shd w:val="clear" w:color="auto" w:fill="F2F2F2" w:themeFill="background1" w:themeFillShade="F2"/>
          </w:tcPr>
          <w:p w14:paraId="2A147983" w14:textId="6372F93C" w:rsidR="00F520DF" w:rsidRPr="008E3D0E" w:rsidRDefault="00F520DF" w:rsidP="00F520DF">
            <w:pPr>
              <w:pStyle w:val="TableBody"/>
              <w:jc w:val="center"/>
            </w:pPr>
            <w:r w:rsidRPr="008E3D0E">
              <w:t>$1,256</w:t>
            </w:r>
          </w:p>
        </w:tc>
      </w:tr>
      <w:tr w:rsidR="00F520DF" w:rsidRPr="008E3D0E" w14:paraId="1DB377BC" w14:textId="77777777" w:rsidTr="00080196">
        <w:trPr>
          <w:cnfStyle w:val="000000100000" w:firstRow="0" w:lastRow="0" w:firstColumn="0" w:lastColumn="0" w:oddVBand="0" w:evenVBand="0" w:oddHBand="1" w:evenHBand="0" w:firstRowFirstColumn="0" w:firstRowLastColumn="0" w:lastRowFirstColumn="0" w:lastRowLastColumn="0"/>
        </w:trPr>
        <w:tc>
          <w:tcPr>
            <w:tcW w:w="3062" w:type="dxa"/>
            <w:vMerge w:val="restart"/>
            <w:shd w:val="clear" w:color="auto" w:fill="E3E3E4" w:themeFill="background2" w:themeFillTint="33"/>
          </w:tcPr>
          <w:p w14:paraId="1270FD23" w14:textId="77777777" w:rsidR="00F520DF" w:rsidRPr="008E3D0E" w:rsidRDefault="00F520DF" w:rsidP="00F520DF">
            <w:pPr>
              <w:pStyle w:val="TableBody"/>
            </w:pPr>
            <w:r w:rsidRPr="008E3D0E">
              <w:t>Residential (Tenant)</w:t>
            </w:r>
          </w:p>
          <w:p w14:paraId="36631FD5" w14:textId="398084BC" w:rsidR="00F520DF" w:rsidRPr="008E3D0E" w:rsidRDefault="00F520DF" w:rsidP="00F520DF">
            <w:pPr>
              <w:pStyle w:val="TableBody"/>
            </w:pPr>
          </w:p>
        </w:tc>
        <w:tc>
          <w:tcPr>
            <w:tcW w:w="1843" w:type="dxa"/>
            <w:shd w:val="clear" w:color="auto" w:fill="E3E3E4" w:themeFill="background2" w:themeFillTint="33"/>
          </w:tcPr>
          <w:p w14:paraId="13C9012D" w14:textId="6F88FB77" w:rsidR="00F520DF" w:rsidRPr="008E3D0E" w:rsidRDefault="00F520DF" w:rsidP="00F520DF">
            <w:pPr>
              <w:pStyle w:val="TableBody"/>
              <w:jc w:val="center"/>
            </w:pPr>
            <w:r w:rsidRPr="008E3D0E">
              <w:t>121*</w:t>
            </w:r>
          </w:p>
        </w:tc>
        <w:tc>
          <w:tcPr>
            <w:tcW w:w="1559" w:type="dxa"/>
            <w:shd w:val="clear" w:color="auto" w:fill="E3E3E4" w:themeFill="background2" w:themeFillTint="33"/>
          </w:tcPr>
          <w:p w14:paraId="213EEA2D" w14:textId="01270F86" w:rsidR="00F520DF" w:rsidRPr="008E3D0E" w:rsidRDefault="00F520DF" w:rsidP="00F520DF">
            <w:pPr>
              <w:pStyle w:val="TableBody"/>
              <w:jc w:val="center"/>
            </w:pPr>
            <w:r w:rsidRPr="008E3D0E">
              <w:t>$235</w:t>
            </w:r>
          </w:p>
        </w:tc>
        <w:tc>
          <w:tcPr>
            <w:tcW w:w="1701" w:type="dxa"/>
            <w:shd w:val="clear" w:color="auto" w:fill="E3E3E4" w:themeFill="background2" w:themeFillTint="33"/>
          </w:tcPr>
          <w:p w14:paraId="05AA7720" w14:textId="3F66E1DD" w:rsidR="00F520DF" w:rsidRPr="008E3D0E" w:rsidRDefault="00F520DF" w:rsidP="00F520DF">
            <w:pPr>
              <w:pStyle w:val="TableBody"/>
              <w:jc w:val="center"/>
            </w:pPr>
            <w:r w:rsidRPr="008E3D0E">
              <w:t>$240</w:t>
            </w:r>
          </w:p>
        </w:tc>
        <w:tc>
          <w:tcPr>
            <w:tcW w:w="1559" w:type="dxa"/>
            <w:shd w:val="clear" w:color="auto" w:fill="E3E3E4" w:themeFill="background2" w:themeFillTint="33"/>
          </w:tcPr>
          <w:p w14:paraId="77A8B1A1" w14:textId="68E87940" w:rsidR="00F520DF" w:rsidRPr="008E3D0E" w:rsidRDefault="00F520DF" w:rsidP="00F520DF">
            <w:pPr>
              <w:pStyle w:val="TableBody"/>
              <w:jc w:val="center"/>
            </w:pPr>
            <w:r w:rsidRPr="008E3D0E">
              <w:t>$244</w:t>
            </w:r>
          </w:p>
        </w:tc>
      </w:tr>
      <w:tr w:rsidR="00F520DF" w:rsidRPr="008E3D0E" w14:paraId="19B625E1" w14:textId="77777777" w:rsidTr="00707CAC">
        <w:trPr>
          <w:cnfStyle w:val="000000010000" w:firstRow="0" w:lastRow="0" w:firstColumn="0" w:lastColumn="0" w:oddVBand="0" w:evenVBand="0" w:oddHBand="0" w:evenHBand="1" w:firstRowFirstColumn="0" w:firstRowLastColumn="0" w:lastRowFirstColumn="0" w:lastRowLastColumn="0"/>
        </w:trPr>
        <w:tc>
          <w:tcPr>
            <w:tcW w:w="3062" w:type="dxa"/>
            <w:vMerge/>
          </w:tcPr>
          <w:p w14:paraId="09051FB9" w14:textId="77777777" w:rsidR="00F520DF" w:rsidRPr="008E3D0E" w:rsidRDefault="00F520DF" w:rsidP="00F520DF">
            <w:pPr>
              <w:pStyle w:val="TableBody"/>
            </w:pPr>
          </w:p>
        </w:tc>
        <w:tc>
          <w:tcPr>
            <w:tcW w:w="1843" w:type="dxa"/>
          </w:tcPr>
          <w:p w14:paraId="249EA711" w14:textId="435254FB" w:rsidR="00F520DF" w:rsidRPr="008E3D0E" w:rsidRDefault="00F520DF" w:rsidP="00F520DF">
            <w:pPr>
              <w:pStyle w:val="TableBody"/>
              <w:jc w:val="center"/>
            </w:pPr>
            <w:r w:rsidRPr="008E3D0E">
              <w:t>200</w:t>
            </w:r>
          </w:p>
        </w:tc>
        <w:tc>
          <w:tcPr>
            <w:tcW w:w="1559" w:type="dxa"/>
          </w:tcPr>
          <w:p w14:paraId="757C0D1E" w14:textId="4A364108" w:rsidR="00F520DF" w:rsidRPr="008E3D0E" w:rsidRDefault="00F520DF" w:rsidP="00F520DF">
            <w:pPr>
              <w:pStyle w:val="TableBody"/>
              <w:jc w:val="center"/>
            </w:pPr>
            <w:r w:rsidRPr="008E3D0E">
              <w:t>$388</w:t>
            </w:r>
          </w:p>
        </w:tc>
        <w:tc>
          <w:tcPr>
            <w:tcW w:w="1701" w:type="dxa"/>
          </w:tcPr>
          <w:p w14:paraId="33101EDA" w14:textId="5784EBD7" w:rsidR="00F520DF" w:rsidRPr="008E3D0E" w:rsidRDefault="00F520DF" w:rsidP="00F520DF">
            <w:pPr>
              <w:pStyle w:val="TableBody"/>
              <w:jc w:val="center"/>
            </w:pPr>
            <w:r w:rsidRPr="008E3D0E">
              <w:t>$396</w:t>
            </w:r>
          </w:p>
        </w:tc>
        <w:tc>
          <w:tcPr>
            <w:tcW w:w="1559" w:type="dxa"/>
          </w:tcPr>
          <w:p w14:paraId="0C7C5ADA" w14:textId="5BD48459" w:rsidR="00F520DF" w:rsidRPr="008E3D0E" w:rsidRDefault="00F520DF" w:rsidP="00F520DF">
            <w:pPr>
              <w:pStyle w:val="TableBody"/>
              <w:jc w:val="center"/>
            </w:pPr>
            <w:r w:rsidRPr="008E3D0E">
              <w:t>$404</w:t>
            </w:r>
          </w:p>
        </w:tc>
      </w:tr>
      <w:tr w:rsidR="00F520DF" w:rsidRPr="008E3D0E" w14:paraId="6572D4C0" w14:textId="77777777" w:rsidTr="00707CAC">
        <w:trPr>
          <w:cnfStyle w:val="000000100000" w:firstRow="0" w:lastRow="0" w:firstColumn="0" w:lastColumn="0" w:oddVBand="0" w:evenVBand="0" w:oddHBand="1" w:evenHBand="0" w:firstRowFirstColumn="0" w:firstRowLastColumn="0" w:lastRowFirstColumn="0" w:lastRowLastColumn="0"/>
        </w:trPr>
        <w:tc>
          <w:tcPr>
            <w:tcW w:w="3062" w:type="dxa"/>
          </w:tcPr>
          <w:p w14:paraId="7BD7E38E" w14:textId="54370470" w:rsidR="00F520DF" w:rsidRPr="008E3D0E" w:rsidRDefault="00F520DF" w:rsidP="00F520DF">
            <w:pPr>
              <w:pStyle w:val="TableBody"/>
            </w:pPr>
            <w:r w:rsidRPr="008E3D0E">
              <w:t>Non-residential (Small)</w:t>
            </w:r>
          </w:p>
        </w:tc>
        <w:tc>
          <w:tcPr>
            <w:tcW w:w="1843" w:type="dxa"/>
          </w:tcPr>
          <w:p w14:paraId="2441AEFB" w14:textId="14537F01" w:rsidR="00F520DF" w:rsidRPr="008E3D0E" w:rsidRDefault="00F520DF" w:rsidP="00F520DF">
            <w:pPr>
              <w:pStyle w:val="TableBody"/>
              <w:jc w:val="center"/>
            </w:pPr>
            <w:r w:rsidRPr="008E3D0E">
              <w:t>150</w:t>
            </w:r>
          </w:p>
        </w:tc>
        <w:tc>
          <w:tcPr>
            <w:tcW w:w="1559" w:type="dxa"/>
          </w:tcPr>
          <w:p w14:paraId="06E29859" w14:textId="3539B4EE" w:rsidR="00F520DF" w:rsidRPr="008E3D0E" w:rsidRDefault="00F520DF" w:rsidP="00F520DF">
            <w:pPr>
              <w:pStyle w:val="TableBody"/>
              <w:jc w:val="center"/>
            </w:pPr>
            <w:r w:rsidRPr="008E3D0E">
              <w:t>$1,047</w:t>
            </w:r>
          </w:p>
        </w:tc>
        <w:tc>
          <w:tcPr>
            <w:tcW w:w="1701" w:type="dxa"/>
          </w:tcPr>
          <w:p w14:paraId="3DFB348C" w14:textId="5DCDB74D" w:rsidR="00F520DF" w:rsidRPr="008E3D0E" w:rsidRDefault="00F520DF" w:rsidP="00F520DF">
            <w:pPr>
              <w:pStyle w:val="TableBody"/>
              <w:jc w:val="center"/>
            </w:pPr>
            <w:r w:rsidRPr="008E3D0E">
              <w:t>$1,068</w:t>
            </w:r>
          </w:p>
        </w:tc>
        <w:tc>
          <w:tcPr>
            <w:tcW w:w="1559" w:type="dxa"/>
          </w:tcPr>
          <w:p w14:paraId="691BAAC2" w14:textId="232B654A" w:rsidR="00F520DF" w:rsidRPr="008E3D0E" w:rsidRDefault="00F520DF" w:rsidP="00F520DF">
            <w:pPr>
              <w:pStyle w:val="TableBody"/>
              <w:jc w:val="center"/>
            </w:pPr>
            <w:r w:rsidRPr="008E3D0E">
              <w:t>$1,089</w:t>
            </w:r>
          </w:p>
        </w:tc>
      </w:tr>
      <w:tr w:rsidR="00F520DF" w:rsidRPr="008E3D0E" w14:paraId="6A6A1688" w14:textId="77777777" w:rsidTr="00707CAC">
        <w:trPr>
          <w:cnfStyle w:val="000000010000" w:firstRow="0" w:lastRow="0" w:firstColumn="0" w:lastColumn="0" w:oddVBand="0" w:evenVBand="0" w:oddHBand="0" w:evenHBand="1" w:firstRowFirstColumn="0" w:firstRowLastColumn="0" w:lastRowFirstColumn="0" w:lastRowLastColumn="0"/>
        </w:trPr>
        <w:tc>
          <w:tcPr>
            <w:tcW w:w="3062" w:type="dxa"/>
          </w:tcPr>
          <w:p w14:paraId="0158C8C2" w14:textId="7E60D2F1" w:rsidR="00F520DF" w:rsidRPr="008E3D0E" w:rsidRDefault="00F520DF" w:rsidP="00F520DF">
            <w:pPr>
              <w:pStyle w:val="TableBody"/>
            </w:pPr>
            <w:r w:rsidRPr="008E3D0E">
              <w:t>Non-residential (Medium)</w:t>
            </w:r>
          </w:p>
        </w:tc>
        <w:tc>
          <w:tcPr>
            <w:tcW w:w="1843" w:type="dxa"/>
          </w:tcPr>
          <w:p w14:paraId="461A6962" w14:textId="27FC98B2" w:rsidR="00F520DF" w:rsidRPr="008E3D0E" w:rsidRDefault="00F520DF" w:rsidP="00F520DF">
            <w:pPr>
              <w:pStyle w:val="TableBody"/>
              <w:jc w:val="center"/>
            </w:pPr>
            <w:r w:rsidRPr="008E3D0E">
              <w:t>250</w:t>
            </w:r>
          </w:p>
        </w:tc>
        <w:tc>
          <w:tcPr>
            <w:tcW w:w="1559" w:type="dxa"/>
          </w:tcPr>
          <w:p w14:paraId="7E49A333" w14:textId="1B53816F" w:rsidR="00F520DF" w:rsidRPr="008E3D0E" w:rsidRDefault="00F520DF" w:rsidP="00F520DF">
            <w:pPr>
              <w:pStyle w:val="TableBody"/>
              <w:jc w:val="center"/>
            </w:pPr>
            <w:r w:rsidRPr="008E3D0E">
              <w:t>$1,305</w:t>
            </w:r>
          </w:p>
        </w:tc>
        <w:tc>
          <w:tcPr>
            <w:tcW w:w="1701" w:type="dxa"/>
          </w:tcPr>
          <w:p w14:paraId="6A06D595" w14:textId="28CE9931" w:rsidR="00F520DF" w:rsidRPr="008E3D0E" w:rsidRDefault="00F520DF" w:rsidP="00F520DF">
            <w:pPr>
              <w:pStyle w:val="TableBody"/>
              <w:jc w:val="center"/>
            </w:pPr>
            <w:r w:rsidRPr="008E3D0E">
              <w:t>$1,331</w:t>
            </w:r>
          </w:p>
        </w:tc>
        <w:tc>
          <w:tcPr>
            <w:tcW w:w="1559" w:type="dxa"/>
          </w:tcPr>
          <w:p w14:paraId="233CB14A" w14:textId="24350992" w:rsidR="00F520DF" w:rsidRPr="008E3D0E" w:rsidRDefault="00F520DF" w:rsidP="00F520DF">
            <w:pPr>
              <w:pStyle w:val="TableBody"/>
              <w:jc w:val="center"/>
            </w:pPr>
            <w:r w:rsidRPr="008E3D0E">
              <w:t>$1,357</w:t>
            </w:r>
          </w:p>
        </w:tc>
      </w:tr>
      <w:tr w:rsidR="00F520DF" w:rsidRPr="008E3D0E" w14:paraId="2A82CAF7" w14:textId="77777777" w:rsidTr="00707CAC">
        <w:trPr>
          <w:cnfStyle w:val="000000100000" w:firstRow="0" w:lastRow="0" w:firstColumn="0" w:lastColumn="0" w:oddVBand="0" w:evenVBand="0" w:oddHBand="1" w:evenHBand="0" w:firstRowFirstColumn="0" w:firstRowLastColumn="0" w:lastRowFirstColumn="0" w:lastRowLastColumn="0"/>
        </w:trPr>
        <w:tc>
          <w:tcPr>
            <w:tcW w:w="3062" w:type="dxa"/>
          </w:tcPr>
          <w:p w14:paraId="02EF5785" w14:textId="658CA7A4" w:rsidR="00F520DF" w:rsidRPr="008E3D0E" w:rsidRDefault="00F520DF" w:rsidP="00F520DF">
            <w:pPr>
              <w:pStyle w:val="TableBody"/>
            </w:pPr>
            <w:r w:rsidRPr="008E3D0E">
              <w:t>Non-residential (Large)</w:t>
            </w:r>
          </w:p>
        </w:tc>
        <w:tc>
          <w:tcPr>
            <w:tcW w:w="1843" w:type="dxa"/>
          </w:tcPr>
          <w:p w14:paraId="32FD4350" w14:textId="32B18621" w:rsidR="00F520DF" w:rsidRPr="008E3D0E" w:rsidRDefault="00F520DF" w:rsidP="00F520DF">
            <w:pPr>
              <w:pStyle w:val="TableBody"/>
              <w:jc w:val="center"/>
            </w:pPr>
            <w:r w:rsidRPr="008E3D0E">
              <w:t>700</w:t>
            </w:r>
          </w:p>
        </w:tc>
        <w:tc>
          <w:tcPr>
            <w:tcW w:w="1559" w:type="dxa"/>
          </w:tcPr>
          <w:p w14:paraId="390C1E2B" w14:textId="6A386127" w:rsidR="00F520DF" w:rsidRPr="008E3D0E" w:rsidRDefault="00F520DF" w:rsidP="00F520DF">
            <w:pPr>
              <w:pStyle w:val="TableBody"/>
              <w:jc w:val="center"/>
            </w:pPr>
            <w:r w:rsidRPr="008E3D0E">
              <w:t>$2,146</w:t>
            </w:r>
          </w:p>
        </w:tc>
        <w:tc>
          <w:tcPr>
            <w:tcW w:w="1701" w:type="dxa"/>
          </w:tcPr>
          <w:p w14:paraId="20EE3AC1" w14:textId="20DC3B15" w:rsidR="00F520DF" w:rsidRPr="008E3D0E" w:rsidRDefault="00F520DF" w:rsidP="00F520DF">
            <w:pPr>
              <w:pStyle w:val="TableBody"/>
              <w:jc w:val="center"/>
            </w:pPr>
            <w:r w:rsidRPr="008E3D0E">
              <w:t>$2,189</w:t>
            </w:r>
          </w:p>
        </w:tc>
        <w:tc>
          <w:tcPr>
            <w:tcW w:w="1559" w:type="dxa"/>
          </w:tcPr>
          <w:p w14:paraId="6E50BD80" w14:textId="38840BCD" w:rsidR="00F520DF" w:rsidRPr="008E3D0E" w:rsidRDefault="00F520DF" w:rsidP="00F520DF">
            <w:pPr>
              <w:pStyle w:val="TableBody"/>
              <w:jc w:val="center"/>
            </w:pPr>
            <w:r w:rsidRPr="008E3D0E">
              <w:t>$2,232</w:t>
            </w:r>
          </w:p>
        </w:tc>
      </w:tr>
    </w:tbl>
    <w:p w14:paraId="0408EC0F" w14:textId="77777777" w:rsidR="00F520DF" w:rsidRPr="008E3D0E" w:rsidRDefault="00F520DF" w:rsidP="004F5F7F">
      <w:pPr>
        <w:pStyle w:val="Heading2"/>
        <w:rPr>
          <w:rFonts w:asciiTheme="minorHAnsi" w:eastAsiaTheme="minorHAnsi" w:hAnsiTheme="minorHAnsi" w:cstheme="minorBidi"/>
          <w:b w:val="0"/>
          <w:iCs/>
          <w:color w:val="4986A0" w:themeColor="text2"/>
          <w:sz w:val="18"/>
          <w:szCs w:val="18"/>
        </w:rPr>
      </w:pPr>
      <w:bookmarkStart w:id="4" w:name="_Hlk25236773"/>
      <w:bookmarkEnd w:id="3"/>
      <w:r w:rsidRPr="008E3D0E">
        <w:rPr>
          <w:rFonts w:asciiTheme="minorHAnsi" w:eastAsiaTheme="minorHAnsi" w:hAnsiTheme="minorHAnsi" w:cstheme="minorBidi"/>
          <w:b w:val="0"/>
          <w:iCs/>
          <w:color w:val="4986A0" w:themeColor="text2"/>
          <w:sz w:val="18"/>
          <w:szCs w:val="18"/>
        </w:rPr>
        <w:t>*121kL per annum is the average consumption of South Gippsland Water’s customers</w:t>
      </w:r>
    </w:p>
    <w:p w14:paraId="085C5BAA" w14:textId="2047F82F" w:rsidR="004F5F7F" w:rsidRPr="008E3D0E" w:rsidRDefault="004F5F7F" w:rsidP="004F5F7F">
      <w:pPr>
        <w:pStyle w:val="Heading2"/>
      </w:pPr>
      <w:r w:rsidRPr="008E3D0E">
        <w:t>What are the outcomes for customers?</w:t>
      </w:r>
    </w:p>
    <w:p w14:paraId="26B24B7A" w14:textId="15355190" w:rsidR="009D17AA" w:rsidRPr="008E3D0E" w:rsidRDefault="009D17AA" w:rsidP="009D17AA">
      <w:bookmarkStart w:id="5" w:name="_Hlk25236779"/>
      <w:bookmarkEnd w:id="4"/>
      <w:r w:rsidRPr="008E3D0E">
        <w:t xml:space="preserve">In developing its submission, </w:t>
      </w:r>
      <w:fldSimple w:instr=" KEYWORDS   \* MERGEFORMAT ">
        <w:r w:rsidRPr="008E3D0E">
          <w:t>South Gippsland Water</w:t>
        </w:r>
      </w:fldSimple>
      <w:r w:rsidRPr="008E3D0E">
        <w:t xml:space="preserve"> engaged with customers to identify key outcomes its prices would deliver </w:t>
      </w:r>
      <w:r w:rsidR="008C4E1B" w:rsidRPr="008E3D0E">
        <w:t xml:space="preserve">over </w:t>
      </w:r>
      <w:r w:rsidRPr="008E3D0E">
        <w:t>2020</w:t>
      </w:r>
      <w:r w:rsidR="00EE114D" w:rsidRPr="008E3D0E">
        <w:rPr>
          <w:bCs/>
        </w:rPr>
        <w:t>-</w:t>
      </w:r>
      <w:r w:rsidRPr="008E3D0E">
        <w:t xml:space="preserve">23. It is proposing no change in the service standards it will use to measure its performance. </w:t>
      </w:r>
    </w:p>
    <w:p w14:paraId="21065373" w14:textId="61A4F593" w:rsidR="009D17AA" w:rsidRPr="008E3D0E" w:rsidRDefault="009D17AA" w:rsidP="009D17AA">
      <w:r w:rsidRPr="008E3D0E">
        <w:t xml:space="preserve">South Gippsland </w:t>
      </w:r>
      <w:r w:rsidR="008C4E1B" w:rsidRPr="008E3D0E">
        <w:t xml:space="preserve">Water </w:t>
      </w:r>
      <w:r w:rsidRPr="008E3D0E">
        <w:t xml:space="preserve">will continue to focus on limiting unplanned </w:t>
      </w:r>
      <w:r w:rsidR="008C4E1B" w:rsidRPr="008E3D0E">
        <w:t xml:space="preserve">water supply </w:t>
      </w:r>
      <w:r w:rsidRPr="008E3D0E">
        <w:t xml:space="preserve">interruptions to less than five hours. </w:t>
      </w:r>
      <w:r w:rsidR="008C4E1B" w:rsidRPr="008E3D0E">
        <w:t xml:space="preserve">While </w:t>
      </w:r>
      <w:r w:rsidRPr="008E3D0E">
        <w:t>retain</w:t>
      </w:r>
      <w:r w:rsidR="008C4E1B" w:rsidRPr="008E3D0E">
        <w:t>ing</w:t>
      </w:r>
      <w:r w:rsidRPr="008E3D0E">
        <w:t xml:space="preserve"> this as a service standard, in response to feedback from customers it will no longer </w:t>
      </w:r>
      <w:r w:rsidR="000E29F5" w:rsidRPr="008E3D0E">
        <w:t>make</w:t>
      </w:r>
      <w:r w:rsidRPr="008E3D0E">
        <w:t xml:space="preserve"> a guaranteed service level payment </w:t>
      </w:r>
      <w:r w:rsidR="000E29F5" w:rsidRPr="008E3D0E">
        <w:t xml:space="preserve">to customers who experience interruptions for periods of longer than five hours. </w:t>
      </w:r>
    </w:p>
    <w:p w14:paraId="11F63FEC" w14:textId="77777777" w:rsidR="004F5F7F" w:rsidRPr="008E3D0E" w:rsidRDefault="004F5F7F" w:rsidP="004F5F7F">
      <w:pPr>
        <w:pStyle w:val="Heading2"/>
        <w:spacing w:after="0"/>
      </w:pPr>
      <w:r w:rsidRPr="008E3D0E">
        <w:lastRenderedPageBreak/>
        <w:t>What are the major works that will go on around you?</w:t>
      </w:r>
    </w:p>
    <w:bookmarkEnd w:id="5"/>
    <w:p w14:paraId="2EFF0179" w14:textId="77777777" w:rsidR="004F5F7F" w:rsidRPr="008E3D0E" w:rsidRDefault="004F5F7F" w:rsidP="004F5F7F">
      <w:pPr>
        <w:pStyle w:val="Heading2"/>
        <w:spacing w:before="0"/>
      </w:pPr>
      <w:r w:rsidRPr="008E3D0E">
        <w:rPr>
          <w:rFonts w:asciiTheme="majorHAnsi" w:hAnsiTheme="majorHAnsi"/>
          <w:color w:val="000000" w:themeColor="text1"/>
          <w:sz w:val="22"/>
          <w:szCs w:val="24"/>
        </w:rPr>
        <w:t xml:space="preserve"> ($ million before inflation)</w:t>
      </w:r>
    </w:p>
    <w:tbl>
      <w:tblPr>
        <w:tblStyle w:val="TableGrid"/>
        <w:tblW w:w="9867" w:type="dxa"/>
        <w:tblLook w:val="04A0" w:firstRow="1" w:lastRow="0" w:firstColumn="1" w:lastColumn="0" w:noHBand="0" w:noVBand="1"/>
      </w:tblPr>
      <w:tblGrid>
        <w:gridCol w:w="2070"/>
        <w:gridCol w:w="6804"/>
        <w:gridCol w:w="993"/>
      </w:tblGrid>
      <w:tr w:rsidR="004F5F7F" w:rsidRPr="008E3D0E" w14:paraId="59B0512B" w14:textId="77777777" w:rsidTr="00707CAC">
        <w:trPr>
          <w:cnfStyle w:val="100000000000" w:firstRow="1" w:lastRow="0" w:firstColumn="0" w:lastColumn="0" w:oddVBand="0" w:evenVBand="0" w:oddHBand="0" w:evenHBand="0" w:firstRowFirstColumn="0" w:firstRowLastColumn="0" w:lastRowFirstColumn="0" w:lastRowLastColumn="0"/>
          <w:tblHeader/>
        </w:trPr>
        <w:tc>
          <w:tcPr>
            <w:tcW w:w="2070" w:type="dxa"/>
          </w:tcPr>
          <w:p w14:paraId="07E85667" w14:textId="77777777" w:rsidR="004F5F7F" w:rsidRPr="008E3D0E" w:rsidRDefault="004F5F7F" w:rsidP="00707CAC">
            <w:bookmarkStart w:id="6" w:name="_Hlk25236790"/>
            <w:r w:rsidRPr="008E3D0E">
              <w:t>Project</w:t>
            </w:r>
          </w:p>
        </w:tc>
        <w:tc>
          <w:tcPr>
            <w:tcW w:w="6804" w:type="dxa"/>
          </w:tcPr>
          <w:p w14:paraId="77475FEB" w14:textId="77777777" w:rsidR="004F5F7F" w:rsidRPr="008E3D0E" w:rsidRDefault="004F5F7F" w:rsidP="00707CAC">
            <w:r w:rsidRPr="008E3D0E">
              <w:t>Detail</w:t>
            </w:r>
          </w:p>
        </w:tc>
        <w:tc>
          <w:tcPr>
            <w:tcW w:w="993" w:type="dxa"/>
          </w:tcPr>
          <w:p w14:paraId="0837A48C" w14:textId="77777777" w:rsidR="004F5F7F" w:rsidRPr="008E3D0E" w:rsidRDefault="004F5F7F" w:rsidP="00707CAC">
            <w:pPr>
              <w:jc w:val="center"/>
            </w:pPr>
            <w:r w:rsidRPr="008E3D0E">
              <w:t>Total</w:t>
            </w:r>
          </w:p>
        </w:tc>
      </w:tr>
      <w:bookmarkEnd w:id="6"/>
      <w:tr w:rsidR="00BA6FD5" w:rsidRPr="008E3D0E" w14:paraId="6A11A3F8" w14:textId="77777777" w:rsidTr="00707CAC">
        <w:trPr>
          <w:cnfStyle w:val="000000100000" w:firstRow="0" w:lastRow="0" w:firstColumn="0" w:lastColumn="0" w:oddVBand="0" w:evenVBand="0" w:oddHBand="1" w:evenHBand="0" w:firstRowFirstColumn="0" w:firstRowLastColumn="0" w:lastRowFirstColumn="0" w:lastRowLastColumn="0"/>
        </w:trPr>
        <w:tc>
          <w:tcPr>
            <w:tcW w:w="2070" w:type="dxa"/>
            <w:vAlign w:val="center"/>
          </w:tcPr>
          <w:p w14:paraId="5C26D54E" w14:textId="2F5804A0" w:rsidR="00BA6FD5" w:rsidRPr="008E3D0E" w:rsidRDefault="00BA6FD5" w:rsidP="00BA6FD5">
            <w:r w:rsidRPr="008E3D0E">
              <w:t>Sewer System Expansion Wonthaggi Mains</w:t>
            </w:r>
          </w:p>
        </w:tc>
        <w:tc>
          <w:tcPr>
            <w:tcW w:w="6804" w:type="dxa"/>
          </w:tcPr>
          <w:p w14:paraId="58D206BF" w14:textId="68DEBEA9" w:rsidR="00BA6FD5" w:rsidRPr="008E3D0E" w:rsidRDefault="00BA6FD5" w:rsidP="00BA6FD5">
            <w:r w:rsidRPr="008E3D0E">
              <w:t>This project will augment existing Wonthaggi sewer mains to support regional growth and ensure the containment of a 1</w:t>
            </w:r>
            <w:r w:rsidR="00225256" w:rsidRPr="008E3D0E">
              <w:t>-</w:t>
            </w:r>
            <w:r w:rsidRPr="008E3D0E">
              <w:t>in</w:t>
            </w:r>
            <w:r w:rsidR="00225256" w:rsidRPr="008E3D0E">
              <w:t>-</w:t>
            </w:r>
            <w:r w:rsidRPr="008E3D0E">
              <w:t>5</w:t>
            </w:r>
            <w:r w:rsidR="00225256" w:rsidRPr="008E3D0E">
              <w:t>-</w:t>
            </w:r>
            <w:r w:rsidRPr="008E3D0E">
              <w:t>year storm event.</w:t>
            </w:r>
          </w:p>
        </w:tc>
        <w:tc>
          <w:tcPr>
            <w:tcW w:w="993" w:type="dxa"/>
            <w:vAlign w:val="center"/>
          </w:tcPr>
          <w:p w14:paraId="0C59BF6E" w14:textId="3077C7BC" w:rsidR="00BA6FD5" w:rsidRPr="008E3D0E" w:rsidRDefault="00BA6FD5" w:rsidP="00BA6FD5">
            <w:pPr>
              <w:pStyle w:val="TableBold"/>
              <w:jc w:val="center"/>
            </w:pPr>
            <w:r w:rsidRPr="008E3D0E">
              <w:t>$4.5</w:t>
            </w:r>
          </w:p>
        </w:tc>
      </w:tr>
      <w:tr w:rsidR="00BA6FD5" w:rsidRPr="008E3D0E" w14:paraId="5F9CC87B" w14:textId="77777777" w:rsidTr="00707CAC">
        <w:trPr>
          <w:cnfStyle w:val="000000010000" w:firstRow="0" w:lastRow="0" w:firstColumn="0" w:lastColumn="0" w:oddVBand="0" w:evenVBand="0" w:oddHBand="0" w:evenHBand="1" w:firstRowFirstColumn="0" w:firstRowLastColumn="0" w:lastRowFirstColumn="0" w:lastRowLastColumn="0"/>
        </w:trPr>
        <w:tc>
          <w:tcPr>
            <w:tcW w:w="2070" w:type="dxa"/>
            <w:vAlign w:val="center"/>
          </w:tcPr>
          <w:p w14:paraId="41CC4619" w14:textId="5EB627E5" w:rsidR="00BA6FD5" w:rsidRPr="008E3D0E" w:rsidRDefault="00BA6FD5" w:rsidP="00BA6FD5">
            <w:r w:rsidRPr="008E3D0E">
              <w:t>Wonthaggi wastewater treatment plant augmentation</w:t>
            </w:r>
          </w:p>
        </w:tc>
        <w:tc>
          <w:tcPr>
            <w:tcW w:w="6804" w:type="dxa"/>
          </w:tcPr>
          <w:p w14:paraId="54AA013A" w14:textId="57915E6B" w:rsidR="00BA6FD5" w:rsidRPr="008E3D0E" w:rsidRDefault="00BA6FD5" w:rsidP="00BA6FD5">
            <w:r w:rsidRPr="008E3D0E">
              <w:t>A staged upgrade of the wastewater treatment plant</w:t>
            </w:r>
            <w:r w:rsidR="00225256" w:rsidRPr="008E3D0E">
              <w:t>,</w:t>
            </w:r>
            <w:r w:rsidRPr="008E3D0E">
              <w:t xml:space="preserve"> starting with the outlet pump station and rising main</w:t>
            </w:r>
            <w:r w:rsidR="00225256" w:rsidRPr="008E3D0E">
              <w:t>,</w:t>
            </w:r>
            <w:r w:rsidRPr="008E3D0E">
              <w:t xml:space="preserve"> to reduce the risk of effluent spills.</w:t>
            </w:r>
          </w:p>
        </w:tc>
        <w:tc>
          <w:tcPr>
            <w:tcW w:w="993" w:type="dxa"/>
            <w:vAlign w:val="center"/>
          </w:tcPr>
          <w:p w14:paraId="18FDE73D" w14:textId="4A7A2AC8" w:rsidR="00BA6FD5" w:rsidRPr="008E3D0E" w:rsidRDefault="00BA6FD5" w:rsidP="00BA6FD5">
            <w:pPr>
              <w:pStyle w:val="TableBold"/>
              <w:jc w:val="center"/>
            </w:pPr>
            <w:r w:rsidRPr="008E3D0E">
              <w:t>$3.4</w:t>
            </w:r>
          </w:p>
        </w:tc>
      </w:tr>
      <w:tr w:rsidR="00BA6FD5" w:rsidRPr="008E3D0E" w14:paraId="3480698E" w14:textId="77777777" w:rsidTr="00707CAC">
        <w:trPr>
          <w:cnfStyle w:val="000000100000" w:firstRow="0" w:lastRow="0" w:firstColumn="0" w:lastColumn="0" w:oddVBand="0" w:evenVBand="0" w:oddHBand="1" w:evenHBand="0" w:firstRowFirstColumn="0" w:firstRowLastColumn="0" w:lastRowFirstColumn="0" w:lastRowLastColumn="0"/>
        </w:trPr>
        <w:tc>
          <w:tcPr>
            <w:tcW w:w="2070" w:type="dxa"/>
            <w:vAlign w:val="center"/>
          </w:tcPr>
          <w:p w14:paraId="1CC3EECD" w14:textId="53CD3492" w:rsidR="00BA6FD5" w:rsidRPr="008E3D0E" w:rsidRDefault="00BA6FD5" w:rsidP="00BA6FD5">
            <w:r w:rsidRPr="008E3D0E">
              <w:t>Sewer System Expansion (Inverloch)</w:t>
            </w:r>
          </w:p>
        </w:tc>
        <w:tc>
          <w:tcPr>
            <w:tcW w:w="6804" w:type="dxa"/>
          </w:tcPr>
          <w:p w14:paraId="23ACF954" w14:textId="354EB665" w:rsidR="00BA6FD5" w:rsidRPr="008E3D0E" w:rsidRDefault="00EF3A3D" w:rsidP="00BA6FD5">
            <w:fldSimple w:instr=" KEYWORDS   \* MERGEFORMAT ">
              <w:r w:rsidR="00BA6FD5" w:rsidRPr="008E3D0E">
                <w:t>South Gippsland Water</w:t>
              </w:r>
            </w:fldSimple>
            <w:r w:rsidR="00BA6FD5" w:rsidRPr="008E3D0E">
              <w:t xml:space="preserve"> proposes to upgrade the capacity and emergency storage of sewage pumping stations located at Pier Road, </w:t>
            </w:r>
            <w:proofErr w:type="spellStart"/>
            <w:r w:rsidR="00BA6FD5" w:rsidRPr="008E3D0E">
              <w:t>Meanderri</w:t>
            </w:r>
            <w:proofErr w:type="spellEnd"/>
            <w:r w:rsidR="00BA6FD5" w:rsidRPr="008E3D0E">
              <w:t xml:space="preserve"> Drive, and Veronica Street to support growth.</w:t>
            </w:r>
          </w:p>
        </w:tc>
        <w:tc>
          <w:tcPr>
            <w:tcW w:w="993" w:type="dxa"/>
            <w:vAlign w:val="center"/>
          </w:tcPr>
          <w:p w14:paraId="3DE5D09A" w14:textId="5BA84A0C" w:rsidR="00BA6FD5" w:rsidRPr="008E3D0E" w:rsidRDefault="00BA6FD5" w:rsidP="00BA6FD5">
            <w:pPr>
              <w:pStyle w:val="TableBold"/>
              <w:jc w:val="center"/>
            </w:pPr>
            <w:r w:rsidRPr="008E3D0E">
              <w:t>$3.5</w:t>
            </w:r>
          </w:p>
        </w:tc>
      </w:tr>
      <w:tr w:rsidR="00BA6FD5" w:rsidRPr="008E3D0E" w14:paraId="27D3B92B" w14:textId="77777777" w:rsidTr="00707CAC">
        <w:trPr>
          <w:cnfStyle w:val="000000010000" w:firstRow="0" w:lastRow="0" w:firstColumn="0" w:lastColumn="0" w:oddVBand="0" w:evenVBand="0" w:oddHBand="0" w:evenHBand="1" w:firstRowFirstColumn="0" w:firstRowLastColumn="0" w:lastRowFirstColumn="0" w:lastRowLastColumn="0"/>
        </w:trPr>
        <w:tc>
          <w:tcPr>
            <w:tcW w:w="2070" w:type="dxa"/>
            <w:vAlign w:val="center"/>
          </w:tcPr>
          <w:p w14:paraId="3D5E3C9C" w14:textId="09D726CB" w:rsidR="00BA6FD5" w:rsidRPr="008E3D0E" w:rsidRDefault="00BA6FD5" w:rsidP="00BA6FD5">
            <w:r w:rsidRPr="008E3D0E">
              <w:t>Service basin covers and liner renewals</w:t>
            </w:r>
          </w:p>
        </w:tc>
        <w:tc>
          <w:tcPr>
            <w:tcW w:w="6804" w:type="dxa"/>
          </w:tcPr>
          <w:p w14:paraId="63480636" w14:textId="4E76714C" w:rsidR="00BA6FD5" w:rsidRPr="008E3D0E" w:rsidRDefault="00BA6FD5" w:rsidP="00BA6FD5">
            <w:r w:rsidRPr="008E3D0E">
              <w:t>The project involves staged renewal of the water service basin liners and covers of six drinking water service reservoirs and temporary works to allow basins to be taken out of service.</w:t>
            </w:r>
          </w:p>
        </w:tc>
        <w:tc>
          <w:tcPr>
            <w:tcW w:w="993" w:type="dxa"/>
            <w:vAlign w:val="center"/>
          </w:tcPr>
          <w:p w14:paraId="5D2321C7" w14:textId="677FCE48" w:rsidR="00BA6FD5" w:rsidRPr="008E3D0E" w:rsidRDefault="00BA6FD5" w:rsidP="00BA6FD5">
            <w:pPr>
              <w:pStyle w:val="TableBold"/>
              <w:jc w:val="center"/>
            </w:pPr>
            <w:r w:rsidRPr="008E3D0E">
              <w:t>$3.3</w:t>
            </w:r>
          </w:p>
        </w:tc>
      </w:tr>
    </w:tbl>
    <w:p w14:paraId="0073735A" w14:textId="48F7654D" w:rsidR="009233EF" w:rsidRPr="008E3D0E" w:rsidRDefault="009233EF" w:rsidP="009233EF">
      <w:pPr>
        <w:pStyle w:val="Heading2"/>
      </w:pPr>
      <w:bookmarkStart w:id="7" w:name="_Hlk25236801"/>
      <w:r w:rsidRPr="008E3D0E">
        <w:t>How much revenue is required from 20</w:t>
      </w:r>
      <w:r w:rsidR="00CC66D5" w:rsidRPr="008E3D0E">
        <w:t>20</w:t>
      </w:r>
      <w:r w:rsidRPr="008E3D0E">
        <w:t xml:space="preserve"> to 2023?</w:t>
      </w:r>
    </w:p>
    <w:bookmarkEnd w:id="7"/>
    <w:p w14:paraId="681CF72B" w14:textId="3EEAE0FC" w:rsidR="004F5F7F" w:rsidRPr="008E3D0E" w:rsidRDefault="004F5F7F" w:rsidP="004F5F7F">
      <w:r w:rsidRPr="008E3D0E">
        <w:t xml:space="preserve">We require each business to tell us what revenue it will need for the next </w:t>
      </w:r>
      <w:r w:rsidR="00CC66D5" w:rsidRPr="008E3D0E">
        <w:t>three</w:t>
      </w:r>
      <w:r w:rsidRPr="008E3D0E">
        <w:t xml:space="preserve"> years. This helps us understand South Gippsland Water’s prices in its submission. </w:t>
      </w:r>
      <w:r w:rsidRPr="008E3D0E">
        <w:fldChar w:fldCharType="begin"/>
      </w:r>
      <w:r w:rsidRPr="008E3D0E">
        <w:instrText xml:space="preserve"> KEYWORDS   \* MERGEFORMAT </w:instrText>
      </w:r>
      <w:r w:rsidRPr="008E3D0E">
        <w:fldChar w:fldCharType="separate"/>
      </w:r>
    </w:p>
    <w:p w14:paraId="3A4324A8" w14:textId="0F57A296" w:rsidR="004F5F7F" w:rsidRPr="008E3D0E" w:rsidRDefault="004F5F7F" w:rsidP="004F5F7F">
      <w:r w:rsidRPr="008E3D0E">
        <w:t>South Gippsland Water</w:t>
      </w:r>
      <w:r w:rsidRPr="008E3D0E">
        <w:fldChar w:fldCharType="end"/>
      </w:r>
      <w:r w:rsidRPr="008E3D0E">
        <w:t xml:space="preserve"> forecasts that it needs </w:t>
      </w:r>
      <w:r w:rsidRPr="008E3D0E">
        <w:rPr>
          <w:b/>
        </w:rPr>
        <w:t>$</w:t>
      </w:r>
      <w:r w:rsidR="00C11331" w:rsidRPr="008E3D0E">
        <w:rPr>
          <w:b/>
        </w:rPr>
        <w:t>62</w:t>
      </w:r>
      <w:r w:rsidRPr="008E3D0E">
        <w:rPr>
          <w:b/>
        </w:rPr>
        <w:t> million</w:t>
      </w:r>
      <w:r w:rsidRPr="008E3D0E">
        <w:t xml:space="preserve"> of operating expenditure and </w:t>
      </w:r>
      <w:r w:rsidRPr="008E3D0E">
        <w:rPr>
          <w:b/>
        </w:rPr>
        <w:t>$</w:t>
      </w:r>
      <w:r w:rsidR="00A8421C" w:rsidRPr="008E3D0E">
        <w:rPr>
          <w:b/>
        </w:rPr>
        <w:t>41</w:t>
      </w:r>
      <w:r w:rsidRPr="008E3D0E">
        <w:rPr>
          <w:b/>
        </w:rPr>
        <w:t> million</w:t>
      </w:r>
      <w:r w:rsidRPr="008E3D0E">
        <w:t xml:space="preserve"> of capital expenditure to provide its services to customers over the next five years. To fund this, South Gippsland Water requires </w:t>
      </w:r>
      <w:r w:rsidRPr="008E3D0E">
        <w:rPr>
          <w:b/>
        </w:rPr>
        <w:t>$</w:t>
      </w:r>
      <w:r w:rsidR="00A8421C" w:rsidRPr="008E3D0E">
        <w:rPr>
          <w:b/>
        </w:rPr>
        <w:t>9</w:t>
      </w:r>
      <w:r w:rsidR="00C11331" w:rsidRPr="008E3D0E">
        <w:rPr>
          <w:b/>
        </w:rPr>
        <w:t>7</w:t>
      </w:r>
      <w:r w:rsidRPr="008E3D0E">
        <w:rPr>
          <w:b/>
        </w:rPr>
        <w:t> million in revenue</w:t>
      </w:r>
      <w:r w:rsidR="00DE313B" w:rsidRPr="008E3D0E">
        <w:rPr>
          <w:b/>
        </w:rPr>
        <w:t xml:space="preserve"> over three years</w:t>
      </w:r>
      <w:r w:rsidRPr="008E3D0E">
        <w:t xml:space="preserve">, an </w:t>
      </w:r>
      <w:r w:rsidRPr="008E3D0E">
        <w:rPr>
          <w:b/>
        </w:rPr>
        <w:t>increase</w:t>
      </w:r>
      <w:r w:rsidR="00C11331" w:rsidRPr="008E3D0E">
        <w:t xml:space="preserve"> of 5.4</w:t>
      </w:r>
      <w:r w:rsidR="009D37D2" w:rsidRPr="008E3D0E">
        <w:t xml:space="preserve"> per cent</w:t>
      </w:r>
      <w:r w:rsidR="00C11331" w:rsidRPr="008E3D0E">
        <w:t xml:space="preserve"> on the annual averag</w:t>
      </w:r>
      <w:r w:rsidR="00EF3A3D" w:rsidRPr="008E3D0E">
        <w:t>e</w:t>
      </w:r>
      <w:r w:rsidR="00C11331" w:rsidRPr="008E3D0E">
        <w:t xml:space="preserve"> </w:t>
      </w:r>
      <w:r w:rsidR="002D6573" w:rsidRPr="008E3D0E">
        <w:t>from the</w:t>
      </w:r>
      <w:r w:rsidR="00DE313B" w:rsidRPr="008E3D0E">
        <w:t xml:space="preserve"> two</w:t>
      </w:r>
      <w:r w:rsidR="00776C79" w:rsidRPr="008E3D0E">
        <w:t xml:space="preserve"> years between </w:t>
      </w:r>
      <w:r w:rsidR="002D6573" w:rsidRPr="008E3D0E">
        <w:t xml:space="preserve">2018 </w:t>
      </w:r>
      <w:r w:rsidR="00776C79" w:rsidRPr="008E3D0E">
        <w:t>and</w:t>
      </w:r>
      <w:r w:rsidR="007037C0" w:rsidRPr="008E3D0E">
        <w:t xml:space="preserve"> </w:t>
      </w:r>
      <w:r w:rsidR="002D6573" w:rsidRPr="008E3D0E">
        <w:t>2020</w:t>
      </w:r>
      <w:r w:rsidRPr="008E3D0E">
        <w:t>.</w:t>
      </w:r>
    </w:p>
    <w:p w14:paraId="3CE225E3" w14:textId="098FF90D" w:rsidR="004F5F7F" w:rsidRDefault="004F5F7F" w:rsidP="004F5F7F">
      <w:r w:rsidRPr="008E3D0E">
        <w:t xml:space="preserve">This additional revenue is contributing to South Gippsland Water’s proposed price </w:t>
      </w:r>
      <w:r w:rsidR="00776C79" w:rsidRPr="008E3D0E">
        <w:t xml:space="preserve">rise from </w:t>
      </w:r>
      <w:r w:rsidR="00362D31" w:rsidRPr="008E3D0E">
        <w:t>July </w:t>
      </w:r>
      <w:r w:rsidR="00DE313B" w:rsidRPr="008E3D0E">
        <w:t>20</w:t>
      </w:r>
      <w:r w:rsidR="00362D31" w:rsidRPr="008E3D0E">
        <w:t xml:space="preserve">20 to June </w:t>
      </w:r>
      <w:r w:rsidR="004F4162" w:rsidRPr="008E3D0E">
        <w:t>20</w:t>
      </w:r>
      <w:r w:rsidR="00776C79" w:rsidRPr="008E3D0E">
        <w:t>23</w:t>
      </w:r>
      <w:r w:rsidRPr="008E3D0E">
        <w:t>.</w:t>
      </w:r>
    </w:p>
    <w:p w14:paraId="4AD43BAC" w14:textId="77777777" w:rsidR="004F5F7F" w:rsidRPr="00B44302" w:rsidRDefault="004F5F7F" w:rsidP="004F5F7F">
      <w:pPr>
        <w:pStyle w:val="Heading2"/>
      </w:pPr>
      <w:r>
        <w:t xml:space="preserve">Got a question? </w:t>
      </w:r>
      <w:r>
        <w:rPr>
          <w:noProof/>
          <w:lang w:eastAsia="en-AU"/>
        </w:rPr>
        <w:drawing>
          <wp:anchor distT="0" distB="0" distL="114300" distR="114300" simplePos="0" relativeHeight="251659264" behindDoc="0" locked="0" layoutInCell="1" allowOverlap="1" wp14:anchorId="54C61934" wp14:editId="4EC1C438">
            <wp:simplePos x="0" y="0"/>
            <wp:positionH relativeFrom="column">
              <wp:posOffset>7073105</wp:posOffset>
            </wp:positionH>
            <wp:positionV relativeFrom="paragraph">
              <wp:posOffset>1771650</wp:posOffset>
            </wp:positionV>
            <wp:extent cx="190500" cy="266699"/>
            <wp:effectExtent l="0" t="0" r="0" b="635"/>
            <wp:wrapNone/>
            <wp:docPr id="1" name="Finish Flag" descr="&quot;&quot;" title="Fin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ish Flag" descr="&quot;&quot;" title="Finish Fla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0500" cy="266699"/>
                    </a:xfrm>
                    <a:prstGeom prst="rect">
                      <a:avLst/>
                    </a:prstGeom>
                  </pic:spPr>
                </pic:pic>
              </a:graphicData>
            </a:graphic>
          </wp:anchor>
        </w:drawing>
      </w:r>
    </w:p>
    <w:p w14:paraId="4B0216E4" w14:textId="77777777" w:rsidR="00797590" w:rsidRDefault="008E3D0E" w:rsidP="00102472">
      <w:hyperlink r:id="rId14" w:history="1">
        <w:r w:rsidR="004F5F7F" w:rsidRPr="00BD09ED">
          <w:rPr>
            <w:rStyle w:val="Hyperlink"/>
          </w:rPr>
          <w:t>View our contact details</w:t>
        </w:r>
      </w:hyperlink>
      <w:r w:rsidR="004F5F7F">
        <w:t xml:space="preserve"> and follow us on </w:t>
      </w:r>
      <w:hyperlink r:id="rId15" w:history="1">
        <w:r w:rsidR="004F5F7F" w:rsidRPr="00BD09ED">
          <w:rPr>
            <w:rStyle w:val="Hyperlink"/>
          </w:rPr>
          <w:t>LinkedIn</w:t>
        </w:r>
      </w:hyperlink>
      <w:r w:rsidR="004F5F7F">
        <w:t xml:space="preserve"> and </w:t>
      </w:r>
      <w:hyperlink r:id="rId16" w:history="1">
        <w:r w:rsidR="004F5F7F" w:rsidRPr="00BD09ED">
          <w:rPr>
            <w:rStyle w:val="Hyperlink"/>
          </w:rPr>
          <w:t>Twitter</w:t>
        </w:r>
      </w:hyperlink>
      <w:r w:rsidR="004F5F7F" w:rsidRPr="00FC2DA6">
        <w:t>.</w:t>
      </w:r>
    </w:p>
    <w:p w14:paraId="2A3507C4" w14:textId="77777777" w:rsidR="009C3099" w:rsidRPr="009C3099" w:rsidRDefault="009C3099" w:rsidP="00102472">
      <w:pPr>
        <w:rPr>
          <w:color w:val="A6A6A6" w:themeColor="background1" w:themeShade="A6"/>
        </w:rPr>
      </w:pPr>
      <w:r w:rsidRPr="009C3099">
        <w:rPr>
          <w:color w:val="A6A6A6" w:themeColor="background1" w:themeShade="A6"/>
        </w:rPr>
        <w:t>Updated on 1</w:t>
      </w:r>
      <w:r w:rsidR="001D1F63">
        <w:rPr>
          <w:color w:val="A6A6A6" w:themeColor="background1" w:themeShade="A6"/>
        </w:rPr>
        <w:t>4</w:t>
      </w:r>
      <w:r w:rsidRPr="009C3099">
        <w:rPr>
          <w:color w:val="A6A6A6" w:themeColor="background1" w:themeShade="A6"/>
        </w:rPr>
        <w:t xml:space="preserve"> December 2017</w:t>
      </w:r>
    </w:p>
    <w:sectPr w:rsidR="009C3099" w:rsidRPr="009C3099" w:rsidSect="00797590">
      <w:headerReference w:type="default" r:id="rId17"/>
      <w:footerReference w:type="default" r:id="rId18"/>
      <w:headerReference w:type="first" r:id="rId19"/>
      <w:footerReference w:type="first" r:id="rId20"/>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88759" w14:textId="77777777" w:rsidR="00C85D0D" w:rsidRDefault="00C85D0D" w:rsidP="00AE03FA">
      <w:pPr>
        <w:spacing w:after="0"/>
      </w:pPr>
      <w:r>
        <w:separator/>
      </w:r>
    </w:p>
    <w:p w14:paraId="3CCD49A2" w14:textId="77777777" w:rsidR="00C85D0D" w:rsidRDefault="00C85D0D"/>
  </w:endnote>
  <w:endnote w:type="continuationSeparator" w:id="0">
    <w:p w14:paraId="3C915352" w14:textId="77777777" w:rsidR="00C85D0D" w:rsidRDefault="00C85D0D" w:rsidP="00AE03FA">
      <w:pPr>
        <w:spacing w:after="0"/>
      </w:pPr>
      <w:r>
        <w:continuationSeparator/>
      </w:r>
    </w:p>
    <w:p w14:paraId="2E363A98" w14:textId="77777777" w:rsidR="00C85D0D" w:rsidRDefault="00C8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DA0B" w14:textId="77777777" w:rsidR="00C85D0D" w:rsidRDefault="00C85D0D" w:rsidP="00A40FB6">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C85D0D" w:rsidRPr="001A45DD" w14:paraId="7D6190DB" w14:textId="77777777" w:rsidTr="00707CAC">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07A5C41F" w14:textId="77777777" w:rsidR="00C85D0D" w:rsidRPr="001A45DD" w:rsidRDefault="00C85D0D" w:rsidP="00707CAC">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1D1F63">
            <w:rPr>
              <w:rStyle w:val="PageNumber"/>
              <w:noProof/>
            </w:rPr>
            <w:t>3</w:t>
          </w:r>
          <w:r w:rsidRPr="001A45DD">
            <w:rPr>
              <w:rStyle w:val="PageNumber"/>
            </w:rPr>
            <w:fldChar w:fldCharType="end"/>
          </w:r>
        </w:p>
      </w:tc>
    </w:tr>
  </w:tbl>
  <w:p w14:paraId="22FF1939" w14:textId="77777777" w:rsidR="00C85D0D" w:rsidRDefault="00C85D0D" w:rsidP="00A40FB6">
    <w:pPr>
      <w:pStyle w:val="Footer"/>
      <w:ind w:left="567" w:right="567"/>
    </w:pPr>
    <w:r>
      <w:rPr>
        <w:noProof/>
        <w:lang w:eastAsia="en-AU"/>
      </w:rPr>
      <w:drawing>
        <wp:anchor distT="0" distB="0" distL="114300" distR="114300" simplePos="0" relativeHeight="251692032" behindDoc="1" locked="0" layoutInCell="1" allowOverlap="1" wp14:anchorId="137C0E47" wp14:editId="193C81BA">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13" name="Picture 13"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507214403"/>
        <w:dataBinding w:prefixMappings="xmlns:ns0='http://purl.org/dc/elements/1.1/' xmlns:ns1='http://schemas.openxmlformats.org/package/2006/metadata/core-properties' " w:xpath="/ns1:coreProperties[1]/ns0:title[1]" w:storeItemID="{6C3C8BC8-F283-45AE-878A-BAB7291924A1}"/>
        <w:text/>
      </w:sdtPr>
      <w:sdtEndPr/>
      <w:sdtContent>
        <w:r>
          <w:rPr>
            <w:b/>
          </w:rPr>
          <w:t>South Gippsland Water: customer fact sheet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BC09" w14:textId="77777777" w:rsidR="00C85D0D" w:rsidRDefault="00C85D0D" w:rsidP="00A40FB6">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C85D0D" w:rsidRPr="001A45DD" w14:paraId="49A37596" w14:textId="77777777" w:rsidTr="00707CAC">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5EFA7691" w14:textId="77777777" w:rsidR="00C85D0D" w:rsidRPr="001A45DD" w:rsidRDefault="00C85D0D" w:rsidP="00707CAC">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1D1F63">
            <w:rPr>
              <w:rStyle w:val="PageNumber"/>
              <w:noProof/>
            </w:rPr>
            <w:t>1</w:t>
          </w:r>
          <w:r w:rsidRPr="001A45DD">
            <w:rPr>
              <w:rStyle w:val="PageNumber"/>
            </w:rPr>
            <w:fldChar w:fldCharType="end"/>
          </w:r>
        </w:p>
      </w:tc>
    </w:tr>
  </w:tbl>
  <w:p w14:paraId="1EE2DE53" w14:textId="77777777" w:rsidR="00C85D0D" w:rsidRDefault="00C85D0D" w:rsidP="00A40FB6">
    <w:pPr>
      <w:pStyle w:val="Footer"/>
      <w:ind w:left="567" w:right="567"/>
    </w:pPr>
    <w:r>
      <w:rPr>
        <w:noProof/>
        <w:lang w:eastAsia="en-AU"/>
      </w:rPr>
      <w:drawing>
        <wp:anchor distT="0" distB="0" distL="114300" distR="114300" simplePos="0" relativeHeight="251689984" behindDoc="1" locked="0" layoutInCell="1" allowOverlap="1" wp14:anchorId="4CD4D713" wp14:editId="1C4BC3A1">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9" name="Picture 9"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1507821235"/>
        <w:dataBinding w:prefixMappings="xmlns:ns0='http://purl.org/dc/elements/1.1/' xmlns:ns1='http://schemas.openxmlformats.org/package/2006/metadata/core-properties' " w:xpath="/ns1:coreProperties[1]/ns0:title[1]" w:storeItemID="{6C3C8BC8-F283-45AE-878A-BAB7291924A1}"/>
        <w:text/>
      </w:sdtPr>
      <w:sdtEndPr/>
      <w:sdtContent>
        <w:r>
          <w:rPr>
            <w:b/>
          </w:rPr>
          <w:t>South Gippsland Water: customer fact sheet</w:t>
        </w:r>
      </w:sdtContent>
    </w:sdt>
    <w:r w:rsidR="00545592">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17A7F" w14:textId="77777777" w:rsidR="00C85D0D" w:rsidRPr="00CF33F6" w:rsidRDefault="00C85D0D" w:rsidP="00AE03FA">
      <w:pPr>
        <w:spacing w:after="0"/>
        <w:rPr>
          <w:color w:val="75787B" w:themeColor="background2"/>
        </w:rPr>
      </w:pPr>
      <w:bookmarkStart w:id="0" w:name="_Hlk480978878"/>
      <w:bookmarkEnd w:id="0"/>
      <w:r w:rsidRPr="00CF33F6">
        <w:rPr>
          <w:color w:val="75787B" w:themeColor="background2"/>
        </w:rPr>
        <w:separator/>
      </w:r>
    </w:p>
    <w:p w14:paraId="3A155864" w14:textId="77777777" w:rsidR="00C85D0D" w:rsidRDefault="00C85D0D" w:rsidP="00CF33F6">
      <w:pPr>
        <w:pStyle w:val="NoSpacing"/>
      </w:pPr>
    </w:p>
  </w:footnote>
  <w:footnote w:type="continuationSeparator" w:id="0">
    <w:p w14:paraId="1B0FD4E6" w14:textId="77777777" w:rsidR="00C85D0D" w:rsidRDefault="00C85D0D" w:rsidP="00AE03FA">
      <w:pPr>
        <w:spacing w:after="0"/>
      </w:pPr>
      <w:r>
        <w:continuationSeparator/>
      </w:r>
    </w:p>
    <w:p w14:paraId="49673BEB" w14:textId="77777777" w:rsidR="00C85D0D" w:rsidRDefault="00C8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7DAE" w14:textId="77777777" w:rsidR="00C85D0D" w:rsidRPr="00633068" w:rsidRDefault="00C85D0D" w:rsidP="00633068">
    <w:pPr>
      <w:tabs>
        <w:tab w:val="left" w:pos="2236"/>
      </w:tabs>
    </w:pPr>
    <w:r>
      <w:rPr>
        <w:noProof/>
        <w:lang w:eastAsia="en-AU"/>
      </w:rPr>
      <w:drawing>
        <wp:anchor distT="0" distB="0" distL="114300" distR="114300" simplePos="0" relativeHeight="251687936" behindDoc="0" locked="0" layoutInCell="1" allowOverlap="1" wp14:anchorId="041A6699" wp14:editId="03DEABE1">
          <wp:simplePos x="0" y="0"/>
          <wp:positionH relativeFrom="column">
            <wp:posOffset>5516937</wp:posOffset>
          </wp:positionH>
          <wp:positionV relativeFrom="paragraph">
            <wp:posOffset>-190908</wp:posOffset>
          </wp:positionV>
          <wp:extent cx="540000" cy="540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Pr>
        <w:noProof/>
        <w:lang w:eastAsia="en-AU"/>
      </w:rPr>
      <mc:AlternateContent>
        <mc:Choice Requires="wps">
          <w:drawing>
            <wp:anchor distT="0" distB="180340" distL="114300" distR="114300" simplePos="0" relativeHeight="251686912" behindDoc="0" locked="0" layoutInCell="1" allowOverlap="1" wp14:anchorId="1074799F" wp14:editId="5F6A7E4C">
              <wp:simplePos x="0" y="0"/>
              <wp:positionH relativeFrom="column">
                <wp:posOffset>-709930</wp:posOffset>
              </wp:positionH>
              <wp:positionV relativeFrom="paragraph">
                <wp:posOffset>-450215</wp:posOffset>
              </wp:positionV>
              <wp:extent cx="11796395" cy="989965"/>
              <wp:effectExtent l="0" t="0" r="0" b="635"/>
              <wp:wrapTopAndBottom/>
              <wp:docPr id="8" name="Rectangle 8"/>
              <wp:cNvGraphicFramePr/>
              <a:graphic xmlns:a="http://schemas.openxmlformats.org/drawingml/2006/main">
                <a:graphicData uri="http://schemas.microsoft.com/office/word/2010/wordprocessingShape">
                  <wps:wsp>
                    <wps:cNvSpPr/>
                    <wps:spPr>
                      <a:xfrm>
                        <a:off x="0" y="0"/>
                        <a:ext cx="11796395" cy="989965"/>
                      </a:xfrm>
                      <a:prstGeom prst="rect">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5D719" id="Rectangle 8" o:spid="_x0000_s1026" style="position:absolute;margin-left:-55.9pt;margin-top:-35.45pt;width:928.85pt;height:77.95pt;z-index:251686912;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" fillcolor="#4986a0 [3206]" stroked="f" strokeweigh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BE51" w14:textId="77777777" w:rsidR="00C85D0D" w:rsidRDefault="00C85D0D">
    <w:pPr>
      <w:pStyle w:val="Header"/>
    </w:pPr>
    <w:r>
      <w:rPr>
        <w:noProof/>
        <w:lang w:eastAsia="en-AU"/>
      </w:rPr>
      <w:drawing>
        <wp:anchor distT="0" distB="0" distL="114300" distR="114300" simplePos="0" relativeHeight="251684864" behindDoc="0" locked="0" layoutInCell="1" allowOverlap="1" wp14:anchorId="41497E6F" wp14:editId="3B843534">
          <wp:simplePos x="0" y="0"/>
          <wp:positionH relativeFrom="column">
            <wp:posOffset>4792980</wp:posOffset>
          </wp:positionH>
          <wp:positionV relativeFrom="paragraph">
            <wp:posOffset>-150495</wp:posOffset>
          </wp:positionV>
          <wp:extent cx="1259840" cy="1259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Pr>
        <w:noProof/>
        <w:lang w:eastAsia="en-AU"/>
      </w:rPr>
      <mc:AlternateContent>
        <mc:Choice Requires="wps">
          <w:drawing>
            <wp:anchor distT="0" distB="0" distL="114300" distR="114300" simplePos="0" relativeHeight="251683840" behindDoc="0" locked="0" layoutInCell="1" allowOverlap="1" wp14:anchorId="59F9CD4D" wp14:editId="5F45F2C4">
              <wp:simplePos x="0" y="0"/>
              <wp:positionH relativeFrom="column">
                <wp:posOffset>-26095</wp:posOffset>
              </wp:positionH>
              <wp:positionV relativeFrom="paragraph">
                <wp:posOffset>-72774</wp:posOffset>
              </wp:positionV>
              <wp:extent cx="4574392" cy="12541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392" cy="1254125"/>
                      </a:xfrm>
                      <a:prstGeom prst="rect">
                        <a:avLst/>
                      </a:prstGeom>
                      <a:noFill/>
                      <a:ln w="9525">
                        <a:noFill/>
                        <a:miter lim="800000"/>
                        <a:headEnd/>
                        <a:tailEnd/>
                      </a:ln>
                    </wps:spPr>
                    <wps:txbx>
                      <w:txbxContent>
                        <w:p w14:paraId="219CB528" w14:textId="77777777" w:rsidR="00C85D0D" w:rsidRDefault="00C85D0D" w:rsidP="008D6E08">
                          <w:pPr>
                            <w:pStyle w:val="Heading1"/>
                          </w:pPr>
                          <w:r>
                            <w:t>South Gippsland Water</w:t>
                          </w:r>
                        </w:p>
                        <w:p w14:paraId="13DE85D1" w14:textId="19091C4A" w:rsidR="00C85D0D" w:rsidRDefault="00C85D0D" w:rsidP="0080204B">
                          <w:pPr>
                            <w:rPr>
                              <w:rFonts w:cstheme="minorHAnsi"/>
                              <w:color w:val="FFFFFF" w:themeColor="background1"/>
                              <w:sz w:val="28"/>
                            </w:rPr>
                          </w:pPr>
                          <w:r w:rsidRPr="00CA1DCD">
                            <w:rPr>
                              <w:color w:val="FFFFFF" w:themeColor="background1"/>
                              <w:sz w:val="28"/>
                            </w:rPr>
                            <w:t>20</w:t>
                          </w:r>
                          <w:r w:rsidR="00CC66D5">
                            <w:rPr>
                              <w:color w:val="FFFFFF" w:themeColor="background1"/>
                              <w:sz w:val="28"/>
                            </w:rPr>
                            <w:t>20</w:t>
                          </w:r>
                          <w:r w:rsidRPr="00CA1DCD">
                            <w:rPr>
                              <w:color w:val="FFFFFF" w:themeColor="background1"/>
                              <w:sz w:val="28"/>
                            </w:rPr>
                            <w:t xml:space="preserve"> water price review </w:t>
                          </w:r>
                          <w:r w:rsidRPr="00CA1DCD">
                            <w:rPr>
                              <w:rFonts w:cstheme="minorHAnsi"/>
                              <w:color w:val="FFFFFF" w:themeColor="background1"/>
                              <w:sz w:val="28"/>
                            </w:rPr>
                            <w:t>│customer fact sheet</w:t>
                          </w:r>
                        </w:p>
                        <w:p w14:paraId="5AC064F0" w14:textId="77777777" w:rsidR="00C85D0D" w:rsidRDefault="00C85D0D" w:rsidP="0080204B">
                          <w:pPr>
                            <w:rPr>
                              <w:rFonts w:cstheme="minorHAnsi"/>
                              <w:color w:val="FFFFFF" w:themeColor="background1"/>
                              <w:sz w:val="28"/>
                            </w:rPr>
                          </w:pPr>
                          <w:r>
                            <w:rPr>
                              <w:rFonts w:cstheme="minorHAnsi"/>
                              <w:color w:val="FFFFFF" w:themeColor="background1"/>
                              <w:sz w:val="28"/>
                            </w:rPr>
                            <w:t xml:space="preserve">Last updated </w:t>
                          </w:r>
                        </w:p>
                        <w:p w14:paraId="21ED2601" w14:textId="77777777" w:rsidR="00C85D0D" w:rsidRDefault="00C85D0D" w:rsidP="0080204B">
                          <w:pPr>
                            <w:rPr>
                              <w:rFonts w:cstheme="minorHAnsi"/>
                              <w:color w:val="FFFFFF" w:themeColor="background1"/>
                              <w:sz w:val="28"/>
                            </w:rPr>
                          </w:pPr>
                        </w:p>
                        <w:p w14:paraId="21D7AD89" w14:textId="77777777" w:rsidR="00C85D0D" w:rsidRDefault="00C85D0D" w:rsidP="0080204B">
                          <w:pPr>
                            <w:rPr>
                              <w:rFonts w:cstheme="minorHAnsi"/>
                              <w:color w:val="FFFFFF" w:themeColor="background1"/>
                              <w:sz w:val="28"/>
                            </w:rPr>
                          </w:pPr>
                        </w:p>
                        <w:p w14:paraId="6A292AF2" w14:textId="77777777" w:rsidR="00C85D0D" w:rsidRDefault="00C85D0D" w:rsidP="0080204B">
                          <w:pPr>
                            <w:rPr>
                              <w:rFonts w:cstheme="minorHAnsi"/>
                              <w:color w:val="FFFFFF" w:themeColor="background1"/>
                              <w:sz w:val="28"/>
                            </w:rPr>
                          </w:pPr>
                        </w:p>
                        <w:p w14:paraId="48617F5F" w14:textId="77777777" w:rsidR="00C85D0D" w:rsidRPr="00CA1DCD" w:rsidRDefault="00C85D0D" w:rsidP="0080204B">
                          <w:pPr>
                            <w:rPr>
                              <w:color w:val="FFFFFF" w:themeColor="background1"/>
                              <w:sz w:val="28"/>
                            </w:rPr>
                          </w:pPr>
                        </w:p>
                        <w:p w14:paraId="5F604A35" w14:textId="77777777" w:rsidR="00C85D0D" w:rsidRPr="008D6E08" w:rsidRDefault="00C85D0D" w:rsidP="008D6E08">
                          <w:pPr>
                            <w:pStyle w:val="Heading1"/>
                          </w:pPr>
                        </w:p>
                        <w:p w14:paraId="0C0BC646" w14:textId="77777777" w:rsidR="00C85D0D" w:rsidRPr="00261CC2" w:rsidRDefault="00C85D0D" w:rsidP="008D6E08">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9CD4D" id="_x0000_t202" coordsize="21600,21600" o:spt="202" path="m,l,21600r21600,l21600,xe">
              <v:stroke joinstyle="miter"/>
              <v:path gradientshapeok="t" o:connecttype="rect"/>
            </v:shapetype>
            <v:shape id="Text Box 2" o:spid="_x0000_s1026" type="#_x0000_t202" style="position:absolute;margin-left:-2.05pt;margin-top:-5.75pt;width:360.2pt;height:9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" filled="f" stroked="f">
              <v:textbox>
                <w:txbxContent>
                  <w:p w14:paraId="219CB528" w14:textId="77777777" w:rsidR="00C85D0D" w:rsidRDefault="00C85D0D" w:rsidP="008D6E08">
                    <w:pPr>
                      <w:pStyle w:val="Heading1"/>
                    </w:pPr>
                    <w:r>
                      <w:t>South Gippsland Water</w:t>
                    </w:r>
                  </w:p>
                  <w:p w14:paraId="13DE85D1" w14:textId="19091C4A" w:rsidR="00C85D0D" w:rsidRDefault="00C85D0D" w:rsidP="0080204B">
                    <w:pPr>
                      <w:rPr>
                        <w:rFonts w:cstheme="minorHAnsi"/>
                        <w:color w:val="FFFFFF" w:themeColor="background1"/>
                        <w:sz w:val="28"/>
                      </w:rPr>
                    </w:pPr>
                    <w:r w:rsidRPr="00CA1DCD">
                      <w:rPr>
                        <w:color w:val="FFFFFF" w:themeColor="background1"/>
                        <w:sz w:val="28"/>
                      </w:rPr>
                      <w:t>20</w:t>
                    </w:r>
                    <w:r w:rsidR="00CC66D5">
                      <w:rPr>
                        <w:color w:val="FFFFFF" w:themeColor="background1"/>
                        <w:sz w:val="28"/>
                      </w:rPr>
                      <w:t>20</w:t>
                    </w:r>
                    <w:r w:rsidRPr="00CA1DCD">
                      <w:rPr>
                        <w:color w:val="FFFFFF" w:themeColor="background1"/>
                        <w:sz w:val="28"/>
                      </w:rPr>
                      <w:t xml:space="preserve"> water price review </w:t>
                    </w:r>
                    <w:r w:rsidRPr="00CA1DCD">
                      <w:rPr>
                        <w:rFonts w:cstheme="minorHAnsi"/>
                        <w:color w:val="FFFFFF" w:themeColor="background1"/>
                        <w:sz w:val="28"/>
                      </w:rPr>
                      <w:t>│customer fact sheet</w:t>
                    </w:r>
                  </w:p>
                  <w:p w14:paraId="5AC064F0" w14:textId="77777777" w:rsidR="00C85D0D" w:rsidRDefault="00C85D0D" w:rsidP="0080204B">
                    <w:pPr>
                      <w:rPr>
                        <w:rFonts w:cstheme="minorHAnsi"/>
                        <w:color w:val="FFFFFF" w:themeColor="background1"/>
                        <w:sz w:val="28"/>
                      </w:rPr>
                    </w:pPr>
                    <w:r>
                      <w:rPr>
                        <w:rFonts w:cstheme="minorHAnsi"/>
                        <w:color w:val="FFFFFF" w:themeColor="background1"/>
                        <w:sz w:val="28"/>
                      </w:rPr>
                      <w:t xml:space="preserve">Last updated </w:t>
                    </w:r>
                  </w:p>
                  <w:p w14:paraId="21ED2601" w14:textId="77777777" w:rsidR="00C85D0D" w:rsidRDefault="00C85D0D" w:rsidP="0080204B">
                    <w:pPr>
                      <w:rPr>
                        <w:rFonts w:cstheme="minorHAnsi"/>
                        <w:color w:val="FFFFFF" w:themeColor="background1"/>
                        <w:sz w:val="28"/>
                      </w:rPr>
                    </w:pPr>
                  </w:p>
                  <w:p w14:paraId="21D7AD89" w14:textId="77777777" w:rsidR="00C85D0D" w:rsidRDefault="00C85D0D" w:rsidP="0080204B">
                    <w:pPr>
                      <w:rPr>
                        <w:rFonts w:cstheme="minorHAnsi"/>
                        <w:color w:val="FFFFFF" w:themeColor="background1"/>
                        <w:sz w:val="28"/>
                      </w:rPr>
                    </w:pPr>
                  </w:p>
                  <w:p w14:paraId="6A292AF2" w14:textId="77777777" w:rsidR="00C85D0D" w:rsidRDefault="00C85D0D" w:rsidP="0080204B">
                    <w:pPr>
                      <w:rPr>
                        <w:rFonts w:cstheme="minorHAnsi"/>
                        <w:color w:val="FFFFFF" w:themeColor="background1"/>
                        <w:sz w:val="28"/>
                      </w:rPr>
                    </w:pPr>
                  </w:p>
                  <w:p w14:paraId="48617F5F" w14:textId="77777777" w:rsidR="00C85D0D" w:rsidRPr="00CA1DCD" w:rsidRDefault="00C85D0D" w:rsidP="0080204B">
                    <w:pPr>
                      <w:rPr>
                        <w:color w:val="FFFFFF" w:themeColor="background1"/>
                        <w:sz w:val="28"/>
                      </w:rPr>
                    </w:pPr>
                  </w:p>
                  <w:p w14:paraId="5F604A35" w14:textId="77777777" w:rsidR="00C85D0D" w:rsidRPr="008D6E08" w:rsidRDefault="00C85D0D" w:rsidP="008D6E08">
                    <w:pPr>
                      <w:pStyle w:val="Heading1"/>
                    </w:pPr>
                  </w:p>
                  <w:p w14:paraId="0C0BC646" w14:textId="77777777" w:rsidR="00C85D0D" w:rsidRPr="00261CC2" w:rsidRDefault="00C85D0D" w:rsidP="008D6E08">
                    <w:pPr>
                      <w:pStyle w:val="Heading1"/>
                    </w:pPr>
                  </w:p>
                </w:txbxContent>
              </v:textbox>
            </v:shape>
          </w:pict>
        </mc:Fallback>
      </mc:AlternateContent>
    </w:r>
    <w:r w:rsidRPr="00611829">
      <w:rPr>
        <w:noProof/>
        <w:lang w:eastAsia="en-AU"/>
      </w:rPr>
      <mc:AlternateContent>
        <mc:Choice Requires="wps">
          <w:drawing>
            <wp:anchor distT="0" distB="180340" distL="114300" distR="114300" simplePos="0" relativeHeight="251682816" behindDoc="0" locked="0" layoutInCell="1" allowOverlap="1" wp14:anchorId="197F2358" wp14:editId="3D7BAE27">
              <wp:simplePos x="0" y="0"/>
              <wp:positionH relativeFrom="column">
                <wp:posOffset>-720090</wp:posOffset>
              </wp:positionH>
              <wp:positionV relativeFrom="paragraph">
                <wp:posOffset>-450215</wp:posOffset>
              </wp:positionV>
              <wp:extent cx="11323320" cy="1748790"/>
              <wp:effectExtent l="0" t="0" r="0" b="3810"/>
              <wp:wrapTopAndBottom/>
              <wp:docPr id="3" name="Rectangle 3"/>
              <wp:cNvGraphicFramePr/>
              <a:graphic xmlns:a="http://schemas.openxmlformats.org/drawingml/2006/main">
                <a:graphicData uri="http://schemas.microsoft.com/office/word/2010/wordprocessingShape">
                  <wps:wsp>
                    <wps:cNvSpPr/>
                    <wps:spPr>
                      <a:xfrm>
                        <a:off x="0" y="0"/>
                        <a:ext cx="11323320" cy="1748790"/>
                      </a:xfrm>
                      <a:prstGeom prst="rect">
                        <a:avLst/>
                      </a:prstGeom>
                      <a:solidFill>
                        <a:schemeClr val="tx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047C" id="Rectangle 3" o:spid="_x0000_s1026" style="position:absolute;margin-left:-56.7pt;margin-top:-35.45pt;width:891.6pt;height:137.7pt;z-index:251682816;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" fillcolor="#4986a0 [3215]"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238F1"/>
    <w:multiLevelType w:val="hybridMultilevel"/>
    <w:tmpl w:val="6D9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2"/>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8"/>
  </w:num>
  <w:num w:numId="16">
    <w:abstractNumId w:val="12"/>
  </w:num>
  <w:num w:numId="17">
    <w:abstractNumId w:val="23"/>
  </w:num>
  <w:num w:numId="18">
    <w:abstractNumId w:val="23"/>
  </w:num>
  <w:num w:numId="19">
    <w:abstractNumId w:val="19"/>
  </w:num>
  <w:num w:numId="20">
    <w:abstractNumId w:val="14"/>
  </w:num>
  <w:num w:numId="21">
    <w:abstractNumId w:val="25"/>
  </w:num>
  <w:num w:numId="22">
    <w:abstractNumId w:val="27"/>
  </w:num>
  <w:num w:numId="23">
    <w:abstractNumId w:val="13"/>
  </w:num>
  <w:num w:numId="24">
    <w:abstractNumId w:val="29"/>
  </w:num>
  <w:num w:numId="25">
    <w:abstractNumId w:val="26"/>
  </w:num>
  <w:num w:numId="26">
    <w:abstractNumId w:val="28"/>
  </w:num>
  <w:num w:numId="27">
    <w:abstractNumId w:val="16"/>
  </w:num>
  <w:num w:numId="28">
    <w:abstractNumId w:val="21"/>
  </w:num>
  <w:num w:numId="29">
    <w:abstractNumId w:val="20"/>
  </w:num>
  <w:num w:numId="30">
    <w:abstractNumId w:val="15"/>
  </w:num>
  <w:num w:numId="31">
    <w:abstractNumId w:val="24"/>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F7F"/>
    <w:rsid w:val="00001254"/>
    <w:rsid w:val="000046BD"/>
    <w:rsid w:val="0001114E"/>
    <w:rsid w:val="00015588"/>
    <w:rsid w:val="00015EB4"/>
    <w:rsid w:val="00050BCB"/>
    <w:rsid w:val="000518F3"/>
    <w:rsid w:val="000559E1"/>
    <w:rsid w:val="000566E0"/>
    <w:rsid w:val="000765BC"/>
    <w:rsid w:val="000A1292"/>
    <w:rsid w:val="000A759D"/>
    <w:rsid w:val="000A7FD9"/>
    <w:rsid w:val="000B5680"/>
    <w:rsid w:val="000E29F5"/>
    <w:rsid w:val="00102472"/>
    <w:rsid w:val="00126761"/>
    <w:rsid w:val="00136DAB"/>
    <w:rsid w:val="00153081"/>
    <w:rsid w:val="001801C9"/>
    <w:rsid w:val="00184CEF"/>
    <w:rsid w:val="001869B0"/>
    <w:rsid w:val="00187998"/>
    <w:rsid w:val="00187ACF"/>
    <w:rsid w:val="00195003"/>
    <w:rsid w:val="001A1212"/>
    <w:rsid w:val="001A4ACF"/>
    <w:rsid w:val="001B4EF7"/>
    <w:rsid w:val="001C443A"/>
    <w:rsid w:val="001C750A"/>
    <w:rsid w:val="001D07CD"/>
    <w:rsid w:val="001D1F63"/>
    <w:rsid w:val="001E3CE3"/>
    <w:rsid w:val="001F3997"/>
    <w:rsid w:val="001F64A3"/>
    <w:rsid w:val="002021DC"/>
    <w:rsid w:val="00204C88"/>
    <w:rsid w:val="00225256"/>
    <w:rsid w:val="002256FD"/>
    <w:rsid w:val="00235B40"/>
    <w:rsid w:val="00261CC2"/>
    <w:rsid w:val="0027476E"/>
    <w:rsid w:val="002750C4"/>
    <w:rsid w:val="00292869"/>
    <w:rsid w:val="002966CE"/>
    <w:rsid w:val="002A059D"/>
    <w:rsid w:val="002C2ADF"/>
    <w:rsid w:val="002D3B02"/>
    <w:rsid w:val="002D6573"/>
    <w:rsid w:val="002E48AC"/>
    <w:rsid w:val="00307A6A"/>
    <w:rsid w:val="00312BBD"/>
    <w:rsid w:val="00317C67"/>
    <w:rsid w:val="00333ED7"/>
    <w:rsid w:val="00353663"/>
    <w:rsid w:val="00357882"/>
    <w:rsid w:val="00360763"/>
    <w:rsid w:val="00362D31"/>
    <w:rsid w:val="00375CBF"/>
    <w:rsid w:val="00375EFC"/>
    <w:rsid w:val="003822A4"/>
    <w:rsid w:val="003837CC"/>
    <w:rsid w:val="003904B9"/>
    <w:rsid w:val="00395CFE"/>
    <w:rsid w:val="003A16E1"/>
    <w:rsid w:val="003A2748"/>
    <w:rsid w:val="003C4A01"/>
    <w:rsid w:val="003E6B8E"/>
    <w:rsid w:val="00401ECA"/>
    <w:rsid w:val="00420B52"/>
    <w:rsid w:val="0043066B"/>
    <w:rsid w:val="004309BF"/>
    <w:rsid w:val="00452E72"/>
    <w:rsid w:val="004558CC"/>
    <w:rsid w:val="00474670"/>
    <w:rsid w:val="004855CE"/>
    <w:rsid w:val="00496B0B"/>
    <w:rsid w:val="00496CF9"/>
    <w:rsid w:val="004C48D2"/>
    <w:rsid w:val="004F3F8F"/>
    <w:rsid w:val="004F4162"/>
    <w:rsid w:val="004F5F7F"/>
    <w:rsid w:val="0050064B"/>
    <w:rsid w:val="00541F9A"/>
    <w:rsid w:val="00542609"/>
    <w:rsid w:val="00545592"/>
    <w:rsid w:val="00563AD8"/>
    <w:rsid w:val="00565057"/>
    <w:rsid w:val="00572ED3"/>
    <w:rsid w:val="0058364C"/>
    <w:rsid w:val="005B38C8"/>
    <w:rsid w:val="005C6E04"/>
    <w:rsid w:val="005E2A78"/>
    <w:rsid w:val="005E2E03"/>
    <w:rsid w:val="005F3D90"/>
    <w:rsid w:val="005F5578"/>
    <w:rsid w:val="00611829"/>
    <w:rsid w:val="00615C49"/>
    <w:rsid w:val="00633068"/>
    <w:rsid w:val="0063494B"/>
    <w:rsid w:val="006817B0"/>
    <w:rsid w:val="00686B03"/>
    <w:rsid w:val="006D0A5E"/>
    <w:rsid w:val="006D4CD9"/>
    <w:rsid w:val="006D7C58"/>
    <w:rsid w:val="006E6549"/>
    <w:rsid w:val="006E6B2B"/>
    <w:rsid w:val="006F29EA"/>
    <w:rsid w:val="006F6046"/>
    <w:rsid w:val="007037C0"/>
    <w:rsid w:val="00703C67"/>
    <w:rsid w:val="0070740F"/>
    <w:rsid w:val="00707B2F"/>
    <w:rsid w:val="00707CAC"/>
    <w:rsid w:val="00710792"/>
    <w:rsid w:val="00711BA5"/>
    <w:rsid w:val="00715FED"/>
    <w:rsid w:val="00717CCA"/>
    <w:rsid w:val="007202C6"/>
    <w:rsid w:val="00740720"/>
    <w:rsid w:val="00747563"/>
    <w:rsid w:val="0075394B"/>
    <w:rsid w:val="00757EE6"/>
    <w:rsid w:val="00772EB1"/>
    <w:rsid w:val="00776C79"/>
    <w:rsid w:val="00781227"/>
    <w:rsid w:val="0078590A"/>
    <w:rsid w:val="007921F2"/>
    <w:rsid w:val="00792B10"/>
    <w:rsid w:val="00795CF5"/>
    <w:rsid w:val="00797590"/>
    <w:rsid w:val="007A5734"/>
    <w:rsid w:val="007B1E82"/>
    <w:rsid w:val="007B7C63"/>
    <w:rsid w:val="007C7E2D"/>
    <w:rsid w:val="007D2F5A"/>
    <w:rsid w:val="007E2BCE"/>
    <w:rsid w:val="0080204B"/>
    <w:rsid w:val="008023E2"/>
    <w:rsid w:val="0082375F"/>
    <w:rsid w:val="0083412B"/>
    <w:rsid w:val="008365E8"/>
    <w:rsid w:val="0084087E"/>
    <w:rsid w:val="00865ECE"/>
    <w:rsid w:val="008679BA"/>
    <w:rsid w:val="00881E07"/>
    <w:rsid w:val="00882783"/>
    <w:rsid w:val="008A7D0E"/>
    <w:rsid w:val="008B3C05"/>
    <w:rsid w:val="008B6874"/>
    <w:rsid w:val="008B76F7"/>
    <w:rsid w:val="008C1818"/>
    <w:rsid w:val="008C4E1B"/>
    <w:rsid w:val="008C5256"/>
    <w:rsid w:val="008D2C44"/>
    <w:rsid w:val="008D30C4"/>
    <w:rsid w:val="008D5E13"/>
    <w:rsid w:val="008D6E08"/>
    <w:rsid w:val="008E3D0E"/>
    <w:rsid w:val="008E72DD"/>
    <w:rsid w:val="008F7087"/>
    <w:rsid w:val="009058B1"/>
    <w:rsid w:val="00916721"/>
    <w:rsid w:val="009230CE"/>
    <w:rsid w:val="009233EF"/>
    <w:rsid w:val="0092572E"/>
    <w:rsid w:val="009422BA"/>
    <w:rsid w:val="00943BDE"/>
    <w:rsid w:val="00954875"/>
    <w:rsid w:val="00961E03"/>
    <w:rsid w:val="00986CF3"/>
    <w:rsid w:val="0099126B"/>
    <w:rsid w:val="009A2E4E"/>
    <w:rsid w:val="009A4DB9"/>
    <w:rsid w:val="009A5B80"/>
    <w:rsid w:val="009B3253"/>
    <w:rsid w:val="009B583F"/>
    <w:rsid w:val="009C3099"/>
    <w:rsid w:val="009C3565"/>
    <w:rsid w:val="009D17AA"/>
    <w:rsid w:val="009D37D2"/>
    <w:rsid w:val="009D5E04"/>
    <w:rsid w:val="009E15D6"/>
    <w:rsid w:val="009F18ED"/>
    <w:rsid w:val="009F7650"/>
    <w:rsid w:val="00A20DFF"/>
    <w:rsid w:val="00A26591"/>
    <w:rsid w:val="00A277A5"/>
    <w:rsid w:val="00A27C06"/>
    <w:rsid w:val="00A27D94"/>
    <w:rsid w:val="00A27F67"/>
    <w:rsid w:val="00A40FB6"/>
    <w:rsid w:val="00A52458"/>
    <w:rsid w:val="00A67A25"/>
    <w:rsid w:val="00A8421C"/>
    <w:rsid w:val="00A93CAF"/>
    <w:rsid w:val="00AA5609"/>
    <w:rsid w:val="00AA72E4"/>
    <w:rsid w:val="00AB68A7"/>
    <w:rsid w:val="00AB6999"/>
    <w:rsid w:val="00AD2E14"/>
    <w:rsid w:val="00AE03FA"/>
    <w:rsid w:val="00AE0C8F"/>
    <w:rsid w:val="00AE3190"/>
    <w:rsid w:val="00AF63AC"/>
    <w:rsid w:val="00B027ED"/>
    <w:rsid w:val="00B04857"/>
    <w:rsid w:val="00B17F9F"/>
    <w:rsid w:val="00B20994"/>
    <w:rsid w:val="00B37A15"/>
    <w:rsid w:val="00B503C2"/>
    <w:rsid w:val="00B52E6C"/>
    <w:rsid w:val="00B655D9"/>
    <w:rsid w:val="00B72AB0"/>
    <w:rsid w:val="00B82932"/>
    <w:rsid w:val="00B91DF0"/>
    <w:rsid w:val="00BA3341"/>
    <w:rsid w:val="00BA6FD5"/>
    <w:rsid w:val="00BC0E1F"/>
    <w:rsid w:val="00BD24AA"/>
    <w:rsid w:val="00BF2BAF"/>
    <w:rsid w:val="00C03765"/>
    <w:rsid w:val="00C11331"/>
    <w:rsid w:val="00C313B7"/>
    <w:rsid w:val="00C3427B"/>
    <w:rsid w:val="00C34EF4"/>
    <w:rsid w:val="00C36E8A"/>
    <w:rsid w:val="00C45BF3"/>
    <w:rsid w:val="00C47364"/>
    <w:rsid w:val="00C622B7"/>
    <w:rsid w:val="00C753B8"/>
    <w:rsid w:val="00C763D8"/>
    <w:rsid w:val="00C80CDA"/>
    <w:rsid w:val="00C815A7"/>
    <w:rsid w:val="00C81979"/>
    <w:rsid w:val="00C848F1"/>
    <w:rsid w:val="00C85D0D"/>
    <w:rsid w:val="00C9324B"/>
    <w:rsid w:val="00CA357C"/>
    <w:rsid w:val="00CA6A22"/>
    <w:rsid w:val="00CB7FB8"/>
    <w:rsid w:val="00CC66D5"/>
    <w:rsid w:val="00CD3446"/>
    <w:rsid w:val="00CE324D"/>
    <w:rsid w:val="00CE5B02"/>
    <w:rsid w:val="00CF2B15"/>
    <w:rsid w:val="00CF33F6"/>
    <w:rsid w:val="00D21B96"/>
    <w:rsid w:val="00D23A3D"/>
    <w:rsid w:val="00D250C4"/>
    <w:rsid w:val="00D26827"/>
    <w:rsid w:val="00D30FA8"/>
    <w:rsid w:val="00D3670C"/>
    <w:rsid w:val="00D36E74"/>
    <w:rsid w:val="00D40D49"/>
    <w:rsid w:val="00D45FF9"/>
    <w:rsid w:val="00D94AA8"/>
    <w:rsid w:val="00DA005C"/>
    <w:rsid w:val="00DB4F57"/>
    <w:rsid w:val="00DB79C6"/>
    <w:rsid w:val="00DC2B59"/>
    <w:rsid w:val="00DC3BE7"/>
    <w:rsid w:val="00DE313B"/>
    <w:rsid w:val="00DF2D63"/>
    <w:rsid w:val="00E03B00"/>
    <w:rsid w:val="00E04398"/>
    <w:rsid w:val="00E130B8"/>
    <w:rsid w:val="00E13C57"/>
    <w:rsid w:val="00E5390E"/>
    <w:rsid w:val="00E640D1"/>
    <w:rsid w:val="00E736EA"/>
    <w:rsid w:val="00E84671"/>
    <w:rsid w:val="00E9393A"/>
    <w:rsid w:val="00E96A82"/>
    <w:rsid w:val="00EA23C9"/>
    <w:rsid w:val="00EA47A3"/>
    <w:rsid w:val="00EB6E73"/>
    <w:rsid w:val="00EC2BC5"/>
    <w:rsid w:val="00EC6C0B"/>
    <w:rsid w:val="00EE114D"/>
    <w:rsid w:val="00EE323C"/>
    <w:rsid w:val="00EE3779"/>
    <w:rsid w:val="00EE5935"/>
    <w:rsid w:val="00EF3A3D"/>
    <w:rsid w:val="00EF3F48"/>
    <w:rsid w:val="00F121AB"/>
    <w:rsid w:val="00F37150"/>
    <w:rsid w:val="00F42952"/>
    <w:rsid w:val="00F510A3"/>
    <w:rsid w:val="00F520DF"/>
    <w:rsid w:val="00F666F0"/>
    <w:rsid w:val="00F67985"/>
    <w:rsid w:val="00F81408"/>
    <w:rsid w:val="00F85CAB"/>
    <w:rsid w:val="00F92585"/>
    <w:rsid w:val="00FA53DC"/>
    <w:rsid w:val="00FB2CF8"/>
    <w:rsid w:val="00FC5279"/>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9BF346"/>
  <w15:docId w15:val="{AD8A82EA-ABC6-4259-BCD8-DE8A076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261CC2"/>
    <w:pPr>
      <w:keepNext/>
      <w:keepLines/>
      <w:pageBreakBefore/>
      <w:spacing w:before="240" w:after="320"/>
      <w:contextualSpacing/>
      <w:outlineLvl w:val="0"/>
    </w:pPr>
    <w:rPr>
      <w:rFonts w:ascii="Tahoma" w:eastAsiaTheme="majorEastAsia" w:hAnsi="Tahoma" w:cstheme="majorBidi"/>
      <w:color w:val="FFFFFF" w:themeColor="background1"/>
      <w:sz w:val="52"/>
      <w:szCs w:val="48"/>
    </w:rPr>
  </w:style>
  <w:style w:type="paragraph" w:styleId="Heading2">
    <w:name w:val="heading 2"/>
    <w:basedOn w:val="Normal"/>
    <w:next w:val="Normal"/>
    <w:link w:val="Heading2Char"/>
    <w:uiPriority w:val="9"/>
    <w:unhideWhenUsed/>
    <w:qFormat/>
    <w:rsid w:val="00D36E74"/>
    <w:pPr>
      <w:keepNext/>
      <w:keepLines/>
      <w:spacing w:before="240"/>
      <w:outlineLvl w:val="1"/>
    </w:pPr>
    <w:rPr>
      <w:rFonts w:ascii="Tahoma" w:eastAsiaTheme="majorEastAsia" w:hAnsi="Tahoma" w:cstheme="majorBidi"/>
      <w:b/>
      <w:color w:val="236192" w:themeColor="accent1"/>
      <w:sz w:val="26"/>
      <w:szCs w:val="26"/>
    </w:rPr>
  </w:style>
  <w:style w:type="paragraph" w:styleId="Heading3">
    <w:name w:val="heading 3"/>
    <w:basedOn w:val="Normal"/>
    <w:next w:val="Normal"/>
    <w:link w:val="Heading3Char"/>
    <w:uiPriority w:val="9"/>
    <w:unhideWhenUsed/>
    <w:qFormat/>
    <w:rsid w:val="00D36E74"/>
    <w:pPr>
      <w:keepNext/>
      <w:keepLines/>
      <w:spacing w:before="200" w:after="1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1A1212"/>
    <w:pPr>
      <w:numPr>
        <w:ilvl w:val="1"/>
      </w:numPr>
      <w:spacing w:after="240"/>
    </w:pPr>
    <w:rPr>
      <w:rFonts w:eastAsiaTheme="minorEastAsia"/>
      <w:color w:val="FFFFFF" w:themeColor="background1"/>
      <w:sz w:val="28"/>
    </w:rPr>
  </w:style>
  <w:style w:type="character" w:customStyle="1" w:styleId="SubtitleChar">
    <w:name w:val="Subtitle Char"/>
    <w:basedOn w:val="DefaultParagraphFont"/>
    <w:link w:val="Subtitle"/>
    <w:uiPriority w:val="11"/>
    <w:rsid w:val="001A1212"/>
    <w:rPr>
      <w:rFonts w:eastAsiaTheme="minorEastAsia"/>
      <w:color w:val="FFFFFF" w:themeColor="background1"/>
      <w:sz w:val="28"/>
      <w:lang w:val="en-AU"/>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261CC2"/>
    <w:rPr>
      <w:rFonts w:ascii="Tahoma" w:eastAsiaTheme="majorEastAsia" w:hAnsi="Tahoma" w:cstheme="majorBidi"/>
      <w:color w:val="FFFFFF" w:themeColor="background1"/>
      <w:sz w:val="52"/>
      <w:szCs w:val="48"/>
      <w:lang w:val="en-AU"/>
    </w:rPr>
  </w:style>
  <w:style w:type="character" w:customStyle="1" w:styleId="Heading2Char">
    <w:name w:val="Heading 2 Char"/>
    <w:basedOn w:val="DefaultParagraphFont"/>
    <w:link w:val="Heading2"/>
    <w:uiPriority w:val="9"/>
    <w:rsid w:val="00D36E74"/>
    <w:rPr>
      <w:rFonts w:ascii="Tahoma" w:eastAsiaTheme="majorEastAsia" w:hAnsi="Tahoma" w:cstheme="majorBidi"/>
      <w:b/>
      <w:color w:val="236192" w:themeColor="accent1"/>
      <w:sz w:val="26"/>
      <w:szCs w:val="26"/>
      <w:lang w:val="en-AU"/>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D45FF9"/>
    <w:rPr>
      <w:b w:val="0"/>
      <w:color w:val="75787B" w:themeColor="background2"/>
      <w:sz w:val="22"/>
      <w:bdr w:val="none" w:sz="0" w:space="0" w:color="auto"/>
      <w:shd w:val="clear" w:color="auto" w:fill="FFFFFF" w:themeFill="background1"/>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D36E74"/>
    <w:rPr>
      <w:rFonts w:asciiTheme="majorHAnsi" w:eastAsiaTheme="majorEastAsia" w:hAnsiTheme="majorHAnsi" w:cstheme="majorBidi"/>
      <w:b/>
      <w:color w:val="000000" w:themeColor="text1"/>
      <w:szCs w:val="24"/>
      <w:lang w:val="en-AU"/>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C9324B"/>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C313B7"/>
    <w:rPr>
      <w:rFonts w:asciiTheme="majorHAnsi" w:eastAsiaTheme="majorEastAsia" w:hAnsiTheme="majorHAnsi" w:cstheme="majorBidi"/>
      <w:b/>
      <w:caps w:val="0"/>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B17F9F"/>
    <w:rPr>
      <w:sz w:val="16"/>
      <w:szCs w:val="16"/>
    </w:rPr>
  </w:style>
  <w:style w:type="paragraph" w:styleId="CommentText">
    <w:name w:val="annotation text"/>
    <w:basedOn w:val="Normal"/>
    <w:link w:val="CommentTextChar"/>
    <w:uiPriority w:val="99"/>
    <w:semiHidden/>
    <w:unhideWhenUsed/>
    <w:rsid w:val="00B17F9F"/>
    <w:pPr>
      <w:spacing w:line="240" w:lineRule="auto"/>
    </w:pPr>
    <w:rPr>
      <w:sz w:val="20"/>
      <w:szCs w:val="20"/>
    </w:rPr>
  </w:style>
  <w:style w:type="character" w:customStyle="1" w:styleId="CommentTextChar">
    <w:name w:val="Comment Text Char"/>
    <w:basedOn w:val="DefaultParagraphFont"/>
    <w:link w:val="CommentText"/>
    <w:uiPriority w:val="99"/>
    <w:semiHidden/>
    <w:rsid w:val="00B17F9F"/>
    <w:rPr>
      <w:sz w:val="20"/>
      <w:szCs w:val="20"/>
      <w:lang w:val="en-AU"/>
    </w:rPr>
  </w:style>
  <w:style w:type="paragraph" w:styleId="CommentSubject">
    <w:name w:val="annotation subject"/>
    <w:basedOn w:val="CommentText"/>
    <w:next w:val="CommentText"/>
    <w:link w:val="CommentSubjectChar"/>
    <w:uiPriority w:val="99"/>
    <w:semiHidden/>
    <w:unhideWhenUsed/>
    <w:rsid w:val="00B17F9F"/>
    <w:rPr>
      <w:b/>
      <w:bCs/>
    </w:rPr>
  </w:style>
  <w:style w:type="character" w:customStyle="1" w:styleId="CommentSubjectChar">
    <w:name w:val="Comment Subject Char"/>
    <w:basedOn w:val="CommentTextChar"/>
    <w:link w:val="CommentSubject"/>
    <w:uiPriority w:val="99"/>
    <w:semiHidden/>
    <w:rsid w:val="00B17F9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1549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ter@esc.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essentialv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waterpricereview" TargetMode="External"/><Relationship Id="rId5" Type="http://schemas.openxmlformats.org/officeDocument/2006/relationships/webSettings" Target="webSettings.xml"/><Relationship Id="rId15" Type="http://schemas.openxmlformats.org/officeDocument/2006/relationships/hyperlink" Target="https://au.linkedin.com/company/essential-services-commission"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c.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gent\Desktop\Fact%20sheet%20-%20water.dotx"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472-7C9B-4137-9280-249907B1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water</Template>
  <TotalTime>612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Gippsland Water: customer fact sheet</vt:lpstr>
    </vt:vector>
  </TitlesOfParts>
  <Company>Essential Services Commission</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Gippsland Water: customer fact sheet</dc:title>
  <dc:creator>Siobhan Argent</dc:creator>
  <cp:lastModifiedBy>Lucy Weston (ESC)</cp:lastModifiedBy>
  <cp:revision>35</cp:revision>
  <cp:lastPrinted>2017-12-12T23:34:00Z</cp:lastPrinted>
  <dcterms:created xsi:type="dcterms:W3CDTF">2017-12-12T05:45:00Z</dcterms:created>
  <dcterms:modified xsi:type="dcterms:W3CDTF">2019-12-02T02:17:00Z</dcterms:modified>
</cp:coreProperties>
</file>